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C6136" w14:textId="77777777" w:rsidR="003D1009" w:rsidRDefault="003D1009" w:rsidP="00006D4D">
      <w:pPr>
        <w:pStyle w:val="Title"/>
        <w:tabs>
          <w:tab w:val="left" w:pos="3528"/>
        </w:tabs>
        <w:rPr>
          <w:rFonts w:ascii="Times New Roman" w:hAnsi="Times New Roman"/>
          <w:sz w:val="24"/>
          <w:szCs w:val="24"/>
        </w:rPr>
      </w:pPr>
      <w:bookmarkStart w:id="0" w:name="_Hlk114751977"/>
    </w:p>
    <w:p w14:paraId="209E4C8F" w14:textId="3ACD344E" w:rsidR="00006D4D" w:rsidRPr="0026473C" w:rsidRDefault="00006D4D" w:rsidP="00006D4D">
      <w:pPr>
        <w:pStyle w:val="Title"/>
        <w:tabs>
          <w:tab w:val="left" w:pos="3528"/>
        </w:tabs>
        <w:rPr>
          <w:rFonts w:ascii="Times New Roman" w:hAnsi="Times New Roman"/>
          <w:sz w:val="24"/>
          <w:szCs w:val="24"/>
        </w:rPr>
      </w:pPr>
      <w:r w:rsidRPr="0026473C">
        <w:rPr>
          <w:rFonts w:ascii="Times New Roman" w:hAnsi="Times New Roman"/>
          <w:sz w:val="24"/>
          <w:szCs w:val="24"/>
        </w:rPr>
        <w:t xml:space="preserve">BEFORE THE PUBLIC SERVICE COMMISSION </w:t>
      </w:r>
    </w:p>
    <w:p w14:paraId="73EBD314" w14:textId="77777777" w:rsidR="00006D4D" w:rsidRPr="0026473C" w:rsidRDefault="00006D4D" w:rsidP="00006D4D">
      <w:pPr>
        <w:tabs>
          <w:tab w:val="left" w:pos="3528"/>
        </w:tabs>
        <w:jc w:val="center"/>
        <w:rPr>
          <w:b/>
          <w:szCs w:val="24"/>
        </w:rPr>
      </w:pPr>
      <w:r w:rsidRPr="0026473C">
        <w:rPr>
          <w:b/>
          <w:szCs w:val="24"/>
        </w:rPr>
        <w:t>OF THE STATE OF DELAWARE</w:t>
      </w:r>
    </w:p>
    <w:p w14:paraId="390D8AE5" w14:textId="77777777" w:rsidR="00006D4D" w:rsidRPr="0026473C" w:rsidRDefault="00006D4D" w:rsidP="00006D4D">
      <w:pPr>
        <w:tabs>
          <w:tab w:val="left" w:pos="3528"/>
        </w:tabs>
        <w:rPr>
          <w:b/>
          <w:szCs w:val="24"/>
        </w:rPr>
      </w:pPr>
    </w:p>
    <w:p w14:paraId="50A1417E" w14:textId="77777777" w:rsidR="001719F1" w:rsidRDefault="001719F1" w:rsidP="007D731A">
      <w:pPr>
        <w:pStyle w:val="BodyText"/>
        <w:spacing w:after="0"/>
        <w:rPr>
          <w:rFonts w:cs="Arial"/>
          <w:b/>
          <w:szCs w:val="24"/>
        </w:rPr>
      </w:pPr>
      <w:r>
        <w:rPr>
          <w:rFonts w:cs="Arial"/>
          <w:b/>
          <w:szCs w:val="24"/>
        </w:rPr>
        <w:t xml:space="preserve">IN THE MATTER OF THE APPLICATION OF  </w:t>
      </w:r>
      <w:proofErr w:type="gramStart"/>
      <w:r>
        <w:rPr>
          <w:rFonts w:cs="Arial"/>
          <w:b/>
          <w:szCs w:val="24"/>
        </w:rPr>
        <w:t xml:space="preserve">  )</w:t>
      </w:r>
      <w:proofErr w:type="gramEnd"/>
    </w:p>
    <w:p w14:paraId="555A6B6B" w14:textId="77777777" w:rsidR="001719F1" w:rsidRDefault="001719F1" w:rsidP="007D731A">
      <w:pPr>
        <w:pStyle w:val="BodyText"/>
        <w:spacing w:after="0"/>
        <w:rPr>
          <w:rFonts w:cs="Arial"/>
          <w:b/>
          <w:szCs w:val="24"/>
        </w:rPr>
      </w:pPr>
      <w:r>
        <w:rPr>
          <w:rFonts w:cs="Arial"/>
          <w:b/>
          <w:szCs w:val="24"/>
        </w:rPr>
        <w:t>CHESAPEAKE UTILITIES CORPORATION</w:t>
      </w:r>
      <w:r>
        <w:rPr>
          <w:rFonts w:cs="Arial"/>
          <w:b/>
          <w:szCs w:val="24"/>
        </w:rPr>
        <w:tab/>
        <w:t xml:space="preserve">  </w:t>
      </w:r>
      <w:proofErr w:type="gramStart"/>
      <w:r>
        <w:rPr>
          <w:rFonts w:cs="Arial"/>
          <w:b/>
          <w:szCs w:val="24"/>
        </w:rPr>
        <w:t xml:space="preserve">  )</w:t>
      </w:r>
      <w:proofErr w:type="gramEnd"/>
      <w:r>
        <w:rPr>
          <w:rFonts w:cs="Arial"/>
          <w:b/>
          <w:szCs w:val="24"/>
        </w:rPr>
        <w:br/>
        <w:t xml:space="preserve">FOR A GENERAL INCREASE IN ITS </w:t>
      </w:r>
      <w:r>
        <w:rPr>
          <w:rFonts w:cs="Arial"/>
          <w:b/>
          <w:szCs w:val="24"/>
        </w:rPr>
        <w:tab/>
      </w:r>
      <w:r>
        <w:rPr>
          <w:rFonts w:cs="Arial"/>
          <w:b/>
          <w:szCs w:val="24"/>
        </w:rPr>
        <w:tab/>
        <w:t xml:space="preserve">    )</w:t>
      </w:r>
      <w:r>
        <w:rPr>
          <w:rFonts w:cs="Arial"/>
          <w:b/>
          <w:szCs w:val="24"/>
        </w:rPr>
        <w:tab/>
      </w:r>
    </w:p>
    <w:p w14:paraId="08D7D040" w14:textId="182BABB7" w:rsidR="001719F1" w:rsidRDefault="001719F1" w:rsidP="007D731A">
      <w:pPr>
        <w:pStyle w:val="BodyText"/>
        <w:spacing w:after="0"/>
        <w:rPr>
          <w:rFonts w:cs="Arial"/>
          <w:b/>
          <w:szCs w:val="24"/>
        </w:rPr>
      </w:pPr>
      <w:r>
        <w:rPr>
          <w:rFonts w:cs="Arial"/>
          <w:b/>
          <w:szCs w:val="24"/>
        </w:rPr>
        <w:t xml:space="preserve">NATURAL GAS RATES AND FOR </w:t>
      </w:r>
      <w:r>
        <w:rPr>
          <w:rFonts w:cs="Arial"/>
          <w:b/>
          <w:szCs w:val="24"/>
        </w:rPr>
        <w:tab/>
      </w:r>
      <w:r>
        <w:rPr>
          <w:rFonts w:cs="Arial"/>
          <w:b/>
          <w:szCs w:val="24"/>
        </w:rPr>
        <w:tab/>
        <w:t xml:space="preserve">  </w:t>
      </w:r>
      <w:proofErr w:type="gramStart"/>
      <w:r>
        <w:rPr>
          <w:rFonts w:cs="Arial"/>
          <w:b/>
          <w:szCs w:val="24"/>
        </w:rPr>
        <w:t xml:space="preserve">  )</w:t>
      </w:r>
      <w:proofErr w:type="gramEnd"/>
      <w:r>
        <w:rPr>
          <w:rFonts w:cs="Arial"/>
          <w:b/>
          <w:szCs w:val="24"/>
        </w:rPr>
        <w:tab/>
        <w:t>Docket No. 24-</w:t>
      </w:r>
      <w:r w:rsidR="003D1009">
        <w:rPr>
          <w:rFonts w:cs="Arial"/>
          <w:b/>
          <w:szCs w:val="24"/>
        </w:rPr>
        <w:t>0906</w:t>
      </w:r>
      <w:r>
        <w:rPr>
          <w:rFonts w:cs="Arial"/>
          <w:b/>
          <w:szCs w:val="24"/>
        </w:rPr>
        <w:br/>
        <w:t xml:space="preserve">APPROVAL OF CERTAIN OTHER </w:t>
      </w:r>
      <w:r>
        <w:rPr>
          <w:rFonts w:cs="Arial"/>
          <w:b/>
          <w:szCs w:val="24"/>
        </w:rPr>
        <w:tab/>
      </w:r>
      <w:r>
        <w:rPr>
          <w:rFonts w:cs="Arial"/>
          <w:b/>
          <w:szCs w:val="24"/>
        </w:rPr>
        <w:tab/>
        <w:t xml:space="preserve">    )      </w:t>
      </w:r>
    </w:p>
    <w:p w14:paraId="5A5CDBB3" w14:textId="77777777" w:rsidR="001719F1" w:rsidRDefault="001719F1" w:rsidP="007D731A">
      <w:pPr>
        <w:pStyle w:val="BodyText"/>
        <w:spacing w:after="0"/>
        <w:rPr>
          <w:rFonts w:cs="Arial"/>
          <w:b/>
          <w:szCs w:val="24"/>
        </w:rPr>
      </w:pPr>
      <w:r>
        <w:rPr>
          <w:rFonts w:cs="Arial"/>
          <w:b/>
          <w:szCs w:val="24"/>
        </w:rPr>
        <w:t>CHANGES TO ITS NATURAL GAS TARIFF</w:t>
      </w:r>
      <w:r>
        <w:rPr>
          <w:rFonts w:cs="Arial"/>
          <w:b/>
          <w:szCs w:val="24"/>
        </w:rPr>
        <w:tab/>
        <w:t xml:space="preserve">  </w:t>
      </w:r>
      <w:proofErr w:type="gramStart"/>
      <w:r>
        <w:rPr>
          <w:rFonts w:cs="Arial"/>
          <w:b/>
          <w:szCs w:val="24"/>
        </w:rPr>
        <w:t xml:space="preserve">  )</w:t>
      </w:r>
      <w:proofErr w:type="gramEnd"/>
    </w:p>
    <w:p w14:paraId="37654190" w14:textId="77777777" w:rsidR="001719F1" w:rsidRDefault="001719F1" w:rsidP="007D731A">
      <w:pPr>
        <w:pStyle w:val="BodyText"/>
        <w:spacing w:after="0"/>
        <w:rPr>
          <w:szCs w:val="24"/>
        </w:rPr>
      </w:pPr>
      <w:r>
        <w:rPr>
          <w:rFonts w:cs="Arial"/>
          <w:b/>
          <w:szCs w:val="24"/>
        </w:rPr>
        <w:t>(Filed August 12, 2024)</w:t>
      </w:r>
      <w:r>
        <w:rPr>
          <w:rFonts w:cs="Arial"/>
          <w:b/>
          <w:szCs w:val="24"/>
        </w:rPr>
        <w:tab/>
      </w:r>
      <w:r>
        <w:rPr>
          <w:rFonts w:cs="Arial"/>
          <w:b/>
          <w:szCs w:val="24"/>
        </w:rPr>
        <w:tab/>
      </w:r>
      <w:r>
        <w:rPr>
          <w:rFonts w:cs="Arial"/>
          <w:b/>
          <w:szCs w:val="24"/>
        </w:rPr>
        <w:tab/>
      </w:r>
      <w:r>
        <w:rPr>
          <w:rFonts w:cs="Arial"/>
          <w:b/>
          <w:szCs w:val="24"/>
        </w:rPr>
        <w:tab/>
        <w:t xml:space="preserve">  </w:t>
      </w:r>
      <w:proofErr w:type="gramStart"/>
      <w:r>
        <w:rPr>
          <w:rFonts w:cs="Arial"/>
          <w:b/>
          <w:szCs w:val="24"/>
        </w:rPr>
        <w:t xml:space="preserve">  )</w:t>
      </w:r>
      <w:proofErr w:type="gramEnd"/>
    </w:p>
    <w:p w14:paraId="6F99771A" w14:textId="77777777" w:rsidR="00006D4D" w:rsidRPr="0026473C" w:rsidRDefault="00006D4D" w:rsidP="00006D4D">
      <w:pPr>
        <w:tabs>
          <w:tab w:val="left" w:pos="3528"/>
        </w:tabs>
        <w:rPr>
          <w:szCs w:val="24"/>
        </w:rPr>
      </w:pPr>
    </w:p>
    <w:p w14:paraId="6D7B2451" w14:textId="3B2D00C0" w:rsidR="00006D4D" w:rsidRPr="0026473C" w:rsidRDefault="00006D4D" w:rsidP="00006D4D">
      <w:pPr>
        <w:tabs>
          <w:tab w:val="left" w:pos="3528"/>
        </w:tabs>
        <w:jc w:val="center"/>
        <w:rPr>
          <w:b/>
          <w:szCs w:val="24"/>
          <w:lang w:val="es-ES"/>
        </w:rPr>
      </w:pPr>
      <w:r w:rsidRPr="0026473C">
        <w:rPr>
          <w:b/>
          <w:szCs w:val="24"/>
          <w:u w:val="single"/>
          <w:lang w:val="es-ES"/>
        </w:rPr>
        <w:t>NOTICE</w:t>
      </w:r>
      <w:r w:rsidR="00400837">
        <w:rPr>
          <w:b/>
          <w:szCs w:val="24"/>
          <w:u w:val="single"/>
          <w:lang w:val="es-ES"/>
        </w:rPr>
        <w:t xml:space="preserve"> OF PUBLIC COMMENT SESSION</w:t>
      </w:r>
    </w:p>
    <w:p w14:paraId="282D2BA4" w14:textId="77777777" w:rsidR="00006D4D" w:rsidRPr="0026473C" w:rsidRDefault="00006D4D" w:rsidP="00006D4D">
      <w:pPr>
        <w:tabs>
          <w:tab w:val="left" w:pos="3528"/>
        </w:tabs>
        <w:jc w:val="center"/>
        <w:rPr>
          <w:b/>
          <w:szCs w:val="24"/>
          <w:lang w:val="es-ES"/>
        </w:rPr>
      </w:pPr>
    </w:p>
    <w:p w14:paraId="7D86C8A5" w14:textId="4882A968" w:rsidR="00006D4D" w:rsidRPr="0026473C" w:rsidRDefault="00006D4D" w:rsidP="00376E5A">
      <w:pPr>
        <w:tabs>
          <w:tab w:val="left" w:pos="3528"/>
        </w:tabs>
        <w:ind w:left="720" w:hanging="720"/>
        <w:rPr>
          <w:b/>
          <w:szCs w:val="24"/>
        </w:rPr>
      </w:pPr>
      <w:r w:rsidRPr="0026473C">
        <w:rPr>
          <w:b/>
          <w:szCs w:val="24"/>
        </w:rPr>
        <w:t>TO:</w:t>
      </w:r>
      <w:r w:rsidRPr="0026473C">
        <w:rPr>
          <w:b/>
          <w:szCs w:val="24"/>
        </w:rPr>
        <w:tab/>
        <w:t xml:space="preserve">ALL NATURAL GAS CUSTOMERS OF CHESAPEAKE UTILITIES CORPORATION </w:t>
      </w:r>
    </w:p>
    <w:p w14:paraId="36CC6332" w14:textId="77777777" w:rsidR="00006D4D" w:rsidRPr="0026473C" w:rsidRDefault="00006D4D" w:rsidP="00006D4D">
      <w:pPr>
        <w:tabs>
          <w:tab w:val="left" w:pos="3528"/>
        </w:tabs>
        <w:ind w:left="720" w:hanging="720"/>
        <w:rPr>
          <w:b/>
          <w:szCs w:val="24"/>
        </w:rPr>
      </w:pPr>
    </w:p>
    <w:p w14:paraId="3B3A9744" w14:textId="77777777" w:rsidR="00006D4D" w:rsidRPr="00400837" w:rsidRDefault="00006D4D" w:rsidP="00006D4D">
      <w:pPr>
        <w:pStyle w:val="BodyTextIndent"/>
        <w:tabs>
          <w:tab w:val="left" w:pos="3528"/>
        </w:tabs>
        <w:spacing w:line="240" w:lineRule="auto"/>
        <w:ind w:firstLine="0"/>
        <w:rPr>
          <w:rFonts w:ascii="Times New Roman" w:hAnsi="Times New Roman"/>
          <w:b/>
          <w:sz w:val="24"/>
          <w:szCs w:val="24"/>
          <w:u w:val="single"/>
        </w:rPr>
      </w:pPr>
    </w:p>
    <w:p w14:paraId="26E7851C" w14:textId="2AD22A03" w:rsidR="00400837" w:rsidRDefault="00006D4D" w:rsidP="007D731A">
      <w:pPr>
        <w:pStyle w:val="BodyTextIndent"/>
        <w:tabs>
          <w:tab w:val="left" w:pos="720"/>
        </w:tabs>
        <w:ind w:firstLine="0"/>
        <w:rPr>
          <w:rFonts w:ascii="Times New Roman" w:hAnsi="Times New Roman"/>
          <w:sz w:val="24"/>
          <w:szCs w:val="24"/>
        </w:rPr>
      </w:pPr>
      <w:r w:rsidRPr="00400837">
        <w:rPr>
          <w:rFonts w:ascii="Times New Roman" w:hAnsi="Times New Roman"/>
          <w:sz w:val="24"/>
          <w:szCs w:val="24"/>
        </w:rPr>
        <w:tab/>
      </w:r>
      <w:r w:rsidR="00400837" w:rsidRPr="00400837">
        <w:rPr>
          <w:rFonts w:ascii="Times New Roman" w:hAnsi="Times New Roman"/>
          <w:sz w:val="24"/>
          <w:szCs w:val="24"/>
        </w:rPr>
        <w:t xml:space="preserve">A Hearing Examiner appointed by the Delaware Public Service Commission (the “Commission”) will conduct a public comment session concerning the above-captioned case (as further explained below) </w:t>
      </w:r>
      <w:r w:rsidR="00400837">
        <w:rPr>
          <w:rFonts w:ascii="Times New Roman" w:hAnsi="Times New Roman"/>
          <w:sz w:val="24"/>
          <w:szCs w:val="24"/>
        </w:rPr>
        <w:t>by teleconference as follows:</w:t>
      </w:r>
    </w:p>
    <w:tbl>
      <w:tblPr>
        <w:tblW w:w="9340" w:type="dxa"/>
        <w:tblLayout w:type="fixed"/>
        <w:tblLook w:val="04A0" w:firstRow="1" w:lastRow="0" w:firstColumn="1" w:lastColumn="0" w:noHBand="0" w:noVBand="1"/>
      </w:tblPr>
      <w:tblGrid>
        <w:gridCol w:w="3590"/>
        <w:gridCol w:w="5750"/>
      </w:tblGrid>
      <w:tr w:rsidR="006B5C18" w:rsidRPr="006B5C18" w14:paraId="78AE1C17" w14:textId="77777777" w:rsidTr="006B5C18">
        <w:trPr>
          <w:trHeight w:val="330"/>
        </w:trPr>
        <w:tc>
          <w:tcPr>
            <w:tcW w:w="35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447017" w14:textId="77777777" w:rsidR="006B5C18" w:rsidRPr="006B5C18" w:rsidRDefault="006B5C18" w:rsidP="006B5C18">
            <w:pPr>
              <w:widowControl/>
              <w:snapToGrid/>
              <w:jc w:val="center"/>
              <w:rPr>
                <w:b/>
                <w:bCs/>
                <w:color w:val="000000"/>
                <w:szCs w:val="24"/>
              </w:rPr>
            </w:pPr>
            <w:r w:rsidRPr="006B5C18">
              <w:rPr>
                <w:b/>
                <w:bCs/>
                <w:color w:val="000000"/>
                <w:szCs w:val="24"/>
              </w:rPr>
              <w:t>DATE &amp; TIME</w:t>
            </w:r>
          </w:p>
        </w:tc>
        <w:tc>
          <w:tcPr>
            <w:tcW w:w="5750" w:type="dxa"/>
            <w:tcBorders>
              <w:top w:val="single" w:sz="8" w:space="0" w:color="auto"/>
              <w:left w:val="nil"/>
              <w:bottom w:val="nil"/>
              <w:right w:val="single" w:sz="8" w:space="0" w:color="auto"/>
            </w:tcBorders>
            <w:shd w:val="clear" w:color="auto" w:fill="auto"/>
            <w:vAlign w:val="center"/>
            <w:hideMark/>
          </w:tcPr>
          <w:p w14:paraId="618CFC0B" w14:textId="77777777" w:rsidR="006B5C18" w:rsidRPr="006B5C18" w:rsidRDefault="006B5C18" w:rsidP="006B5C18">
            <w:pPr>
              <w:widowControl/>
              <w:snapToGrid/>
              <w:jc w:val="center"/>
              <w:rPr>
                <w:b/>
                <w:bCs/>
                <w:color w:val="000000"/>
                <w:szCs w:val="24"/>
              </w:rPr>
            </w:pPr>
            <w:r w:rsidRPr="006B5C18">
              <w:rPr>
                <w:b/>
                <w:bCs/>
                <w:color w:val="000000"/>
                <w:szCs w:val="24"/>
              </w:rPr>
              <w:t>ZOOM INFORMATION</w:t>
            </w:r>
          </w:p>
        </w:tc>
      </w:tr>
      <w:tr w:rsidR="006B5C18" w:rsidRPr="006B5C18" w14:paraId="3FE782A7" w14:textId="77777777" w:rsidTr="006B5C18">
        <w:trPr>
          <w:trHeight w:val="1635"/>
        </w:trPr>
        <w:tc>
          <w:tcPr>
            <w:tcW w:w="3590" w:type="dxa"/>
            <w:tcBorders>
              <w:top w:val="nil"/>
              <w:left w:val="single" w:sz="8" w:space="0" w:color="auto"/>
              <w:bottom w:val="single" w:sz="8" w:space="0" w:color="auto"/>
              <w:right w:val="nil"/>
            </w:tcBorders>
            <w:shd w:val="clear" w:color="auto" w:fill="auto"/>
            <w:vAlign w:val="center"/>
            <w:hideMark/>
          </w:tcPr>
          <w:p w14:paraId="4A78A65A" w14:textId="77777777" w:rsidR="006B5C18" w:rsidRPr="006B5C18" w:rsidRDefault="006B5C18" w:rsidP="006B5C18">
            <w:pPr>
              <w:widowControl/>
              <w:snapToGrid/>
              <w:jc w:val="center"/>
              <w:rPr>
                <w:b/>
                <w:bCs/>
                <w:color w:val="000000"/>
                <w:szCs w:val="24"/>
              </w:rPr>
            </w:pPr>
            <w:r w:rsidRPr="006B5C18">
              <w:rPr>
                <w:b/>
                <w:bCs/>
                <w:color w:val="000000"/>
                <w:szCs w:val="24"/>
              </w:rPr>
              <w:t>Wednesday, December 11, 2024, at 6:00 p.m.</w:t>
            </w:r>
          </w:p>
        </w:tc>
        <w:tc>
          <w:tcPr>
            <w:tcW w:w="57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929840" w14:textId="77777777" w:rsidR="006B5C18" w:rsidRPr="006B5C18" w:rsidRDefault="006B5C18" w:rsidP="006B5C18">
            <w:pPr>
              <w:widowControl/>
              <w:snapToGrid/>
              <w:rPr>
                <w:color w:val="0563C1"/>
                <w:szCs w:val="24"/>
                <w:u w:val="single"/>
              </w:rPr>
            </w:pPr>
            <w:r w:rsidRPr="006B5C18">
              <w:rPr>
                <w:color w:val="0563C1"/>
                <w:szCs w:val="24"/>
                <w:u w:val="single"/>
              </w:rPr>
              <w:fldChar w:fldCharType="begin"/>
            </w:r>
            <w:r w:rsidRPr="006B5C18">
              <w:rPr>
                <w:color w:val="0563C1"/>
                <w:szCs w:val="24"/>
                <w:u w:val="single"/>
              </w:rPr>
              <w:instrText>HYPERLINK "https://gcc02.safelinks.protection.outlook.com/?url=https%3A%2F%2Fus06web.zoom.us%2Fj%2F81033688844%3Fpwd%3D7IcUaArY0OFS8M7QbFIjIRj5RFWd3a.1&amp;data=05%7C02%7CClishona.Marshall%40delaware.gov%7C4f2435dbefdb4277fcd708dcf92a2f08%7C8c09e56951c54deeabb28b99c32a4396%7C0%7C0%7C638659207273234162%7CUnknown%7CTWFpbGZsb3d8eyJWIjoiMC4wLjAwMDAiLCJQIjoiV2luMzIiLCJBTiI6Ik1haWwiLCJXVCI6Mn0%3D%7C0%7C%7C%7C&amp;sdata=TjkNVmmrk83Z%2BOJ%2B3LGnfLbxQZjQHjqtF8RY4jzK%2BDs%3D&amp;reserved=0"</w:instrText>
            </w:r>
            <w:r w:rsidRPr="006B5C18">
              <w:rPr>
                <w:color w:val="0563C1"/>
                <w:szCs w:val="24"/>
                <w:u w:val="single"/>
              </w:rPr>
            </w:r>
            <w:r w:rsidRPr="006B5C18">
              <w:rPr>
                <w:color w:val="0563C1"/>
                <w:szCs w:val="24"/>
                <w:u w:val="single"/>
              </w:rPr>
              <w:fldChar w:fldCharType="separate"/>
            </w:r>
            <w:r w:rsidRPr="006B5C18">
              <w:rPr>
                <w:color w:val="0563C1"/>
                <w:szCs w:val="24"/>
                <w:u w:val="single"/>
              </w:rPr>
              <w:t>https://us06web.zoom.us/j/81033688844?pwd=7IcUaArY0OFS8M7QbFIjIRj5RFWd3a.1</w:t>
            </w:r>
            <w:r w:rsidRPr="006B5C18">
              <w:rPr>
                <w:color w:val="0563C1"/>
                <w:szCs w:val="24"/>
                <w:u w:val="single"/>
              </w:rPr>
              <w:fldChar w:fldCharType="end"/>
            </w:r>
          </w:p>
        </w:tc>
      </w:tr>
    </w:tbl>
    <w:p w14:paraId="70DE90D8" w14:textId="285CBBF7" w:rsidR="006F0F57" w:rsidRDefault="006F0F57" w:rsidP="007D731A">
      <w:pPr>
        <w:pStyle w:val="BodyTextIndent"/>
        <w:tabs>
          <w:tab w:val="left" w:pos="720"/>
        </w:tabs>
        <w:ind w:firstLine="0"/>
        <w:rPr>
          <w:rFonts w:ascii="Times New Roman" w:hAnsi="Times New Roman"/>
          <w:sz w:val="24"/>
          <w:szCs w:val="24"/>
        </w:rPr>
      </w:pPr>
    </w:p>
    <w:p w14:paraId="3AE872B3" w14:textId="2567A78E" w:rsidR="00B35537" w:rsidRDefault="006F0F57" w:rsidP="007D731A">
      <w:pPr>
        <w:pStyle w:val="BodyTextIndent"/>
        <w:tabs>
          <w:tab w:val="left" w:pos="720"/>
        </w:tabs>
        <w:ind w:firstLine="0"/>
        <w:rPr>
          <w:rFonts w:ascii="Times New Roman" w:hAnsi="Times New Roman"/>
          <w:sz w:val="24"/>
          <w:szCs w:val="24"/>
        </w:rPr>
      </w:pPr>
      <w:r>
        <w:rPr>
          <w:rFonts w:ascii="Times New Roman" w:hAnsi="Times New Roman"/>
          <w:sz w:val="24"/>
          <w:szCs w:val="24"/>
        </w:rPr>
        <w:tab/>
      </w:r>
      <w:r w:rsidR="00006D4D" w:rsidRPr="0026473C">
        <w:rPr>
          <w:rFonts w:ascii="Times New Roman" w:hAnsi="Times New Roman"/>
          <w:sz w:val="24"/>
          <w:szCs w:val="24"/>
        </w:rPr>
        <w:t xml:space="preserve">On </w:t>
      </w:r>
      <w:r w:rsidR="007D731A">
        <w:rPr>
          <w:rFonts w:ascii="Times New Roman" w:hAnsi="Times New Roman"/>
          <w:sz w:val="24"/>
          <w:szCs w:val="24"/>
        </w:rPr>
        <w:t>August 12, 2024</w:t>
      </w:r>
      <w:r w:rsidR="00006D4D" w:rsidRPr="0026473C">
        <w:rPr>
          <w:rFonts w:ascii="Times New Roman" w:hAnsi="Times New Roman"/>
          <w:sz w:val="24"/>
          <w:szCs w:val="24"/>
        </w:rPr>
        <w:t xml:space="preserve">, </w:t>
      </w:r>
      <w:r w:rsidR="007D731A">
        <w:rPr>
          <w:rFonts w:ascii="Times New Roman" w:hAnsi="Times New Roman"/>
          <w:sz w:val="24"/>
          <w:szCs w:val="24"/>
        </w:rPr>
        <w:t xml:space="preserve">the Delaware Division of </w:t>
      </w:r>
      <w:r w:rsidR="00006D4D" w:rsidRPr="0026473C">
        <w:rPr>
          <w:rFonts w:ascii="Times New Roman" w:hAnsi="Times New Roman"/>
          <w:sz w:val="24"/>
          <w:szCs w:val="24"/>
        </w:rPr>
        <w:t xml:space="preserve">Chesapeake Utilities Corporation (“Chesapeake” or the “Company”) filed with the Delaware Public Service Commission (the “Commission”) an application </w:t>
      </w:r>
      <w:r w:rsidR="00691976" w:rsidRPr="0026473C">
        <w:rPr>
          <w:rFonts w:ascii="Times New Roman" w:hAnsi="Times New Roman"/>
          <w:sz w:val="24"/>
          <w:szCs w:val="24"/>
        </w:rPr>
        <w:t xml:space="preserve">(the “Application”) </w:t>
      </w:r>
      <w:r w:rsidR="007D731A">
        <w:rPr>
          <w:rFonts w:ascii="Times New Roman" w:hAnsi="Times New Roman"/>
          <w:sz w:val="24"/>
          <w:szCs w:val="24"/>
        </w:rPr>
        <w:t>for approval</w:t>
      </w:r>
      <w:r w:rsidR="00DB1A33">
        <w:rPr>
          <w:rFonts w:ascii="Times New Roman" w:hAnsi="Times New Roman"/>
          <w:sz w:val="24"/>
          <w:szCs w:val="24"/>
        </w:rPr>
        <w:t>:</w:t>
      </w:r>
      <w:r w:rsidR="007D731A">
        <w:rPr>
          <w:rFonts w:ascii="Times New Roman" w:hAnsi="Times New Roman"/>
          <w:sz w:val="24"/>
          <w:szCs w:val="24"/>
        </w:rPr>
        <w:t xml:space="preserve"> to increase its natural gas rates</w:t>
      </w:r>
      <w:r w:rsidR="00DB1A33">
        <w:rPr>
          <w:rFonts w:ascii="Times New Roman" w:hAnsi="Times New Roman"/>
          <w:sz w:val="24"/>
          <w:szCs w:val="24"/>
        </w:rPr>
        <w:t>;</w:t>
      </w:r>
      <w:r w:rsidR="007D731A">
        <w:rPr>
          <w:rFonts w:ascii="Times New Roman" w:hAnsi="Times New Roman"/>
          <w:sz w:val="24"/>
          <w:szCs w:val="24"/>
        </w:rPr>
        <w:t xml:space="preserve"> to charge two new Miscellaneous Service Charges</w:t>
      </w:r>
      <w:r w:rsidR="00DB1A33">
        <w:rPr>
          <w:rFonts w:ascii="Times New Roman" w:hAnsi="Times New Roman"/>
          <w:sz w:val="24"/>
          <w:szCs w:val="24"/>
        </w:rPr>
        <w:t>;</w:t>
      </w:r>
      <w:r w:rsidR="007D731A">
        <w:rPr>
          <w:rFonts w:ascii="Times New Roman" w:hAnsi="Times New Roman"/>
          <w:sz w:val="24"/>
          <w:szCs w:val="24"/>
        </w:rPr>
        <w:t xml:space="preserve"> to restructure its rate schedules</w:t>
      </w:r>
      <w:r w:rsidR="00DB1A33">
        <w:rPr>
          <w:rFonts w:ascii="Times New Roman" w:hAnsi="Times New Roman"/>
          <w:sz w:val="24"/>
          <w:szCs w:val="24"/>
        </w:rPr>
        <w:t>;</w:t>
      </w:r>
      <w:r w:rsidR="007D731A">
        <w:rPr>
          <w:rFonts w:ascii="Times New Roman" w:hAnsi="Times New Roman"/>
          <w:sz w:val="24"/>
          <w:szCs w:val="24"/>
        </w:rPr>
        <w:t xml:space="preserve"> to modify its transportation program</w:t>
      </w:r>
      <w:r w:rsidR="00DB1A33">
        <w:rPr>
          <w:rFonts w:ascii="Times New Roman" w:hAnsi="Times New Roman"/>
          <w:sz w:val="24"/>
          <w:szCs w:val="24"/>
        </w:rPr>
        <w:t>;</w:t>
      </w:r>
      <w:r w:rsidR="007D731A">
        <w:rPr>
          <w:rFonts w:ascii="Times New Roman" w:hAnsi="Times New Roman"/>
          <w:sz w:val="24"/>
          <w:szCs w:val="24"/>
        </w:rPr>
        <w:t xml:space="preserve"> to implement a weather normalization mechanism for residential and small commercial customers</w:t>
      </w:r>
      <w:r w:rsidR="00DB1A33">
        <w:rPr>
          <w:rFonts w:ascii="Times New Roman" w:hAnsi="Times New Roman"/>
          <w:sz w:val="24"/>
          <w:szCs w:val="24"/>
        </w:rPr>
        <w:t>;</w:t>
      </w:r>
      <w:r w:rsidR="007D731A">
        <w:rPr>
          <w:rFonts w:ascii="Times New Roman" w:hAnsi="Times New Roman"/>
          <w:sz w:val="24"/>
          <w:szCs w:val="24"/>
        </w:rPr>
        <w:t xml:space="preserve"> </w:t>
      </w:r>
      <w:r w:rsidR="00765668">
        <w:rPr>
          <w:rFonts w:ascii="Times New Roman" w:hAnsi="Times New Roman"/>
          <w:sz w:val="24"/>
          <w:szCs w:val="24"/>
        </w:rPr>
        <w:t>to effect a transfer of the Company’s business to a new entity, to be called Chesapeake Utilities of Delaware, Inc.</w:t>
      </w:r>
      <w:r w:rsidR="00DB1A33">
        <w:rPr>
          <w:rFonts w:ascii="Times New Roman" w:hAnsi="Times New Roman"/>
          <w:sz w:val="24"/>
          <w:szCs w:val="24"/>
        </w:rPr>
        <w:t>;</w:t>
      </w:r>
      <w:r w:rsidR="00765668">
        <w:rPr>
          <w:rFonts w:ascii="Times New Roman" w:hAnsi="Times New Roman"/>
          <w:sz w:val="24"/>
          <w:szCs w:val="24"/>
        </w:rPr>
        <w:t xml:space="preserve"> </w:t>
      </w:r>
      <w:r w:rsidR="007D731A">
        <w:rPr>
          <w:rFonts w:ascii="Times New Roman" w:hAnsi="Times New Roman"/>
          <w:sz w:val="24"/>
          <w:szCs w:val="24"/>
        </w:rPr>
        <w:t xml:space="preserve">and to </w:t>
      </w:r>
      <w:r w:rsidR="00DB1A33">
        <w:rPr>
          <w:rFonts w:ascii="Times New Roman" w:hAnsi="Times New Roman"/>
          <w:sz w:val="24"/>
          <w:szCs w:val="24"/>
        </w:rPr>
        <w:t>make</w:t>
      </w:r>
      <w:r w:rsidR="007D731A">
        <w:rPr>
          <w:rFonts w:ascii="Times New Roman" w:hAnsi="Times New Roman"/>
          <w:sz w:val="24"/>
          <w:szCs w:val="24"/>
        </w:rPr>
        <w:t xml:space="preserve"> other tariff changes.  In its Application, </w:t>
      </w:r>
      <w:r w:rsidR="007D731A">
        <w:rPr>
          <w:rFonts w:ascii="Times New Roman" w:hAnsi="Times New Roman"/>
          <w:sz w:val="24"/>
          <w:szCs w:val="24"/>
        </w:rPr>
        <w:lastRenderedPageBreak/>
        <w:t>Chesapeake seeks an increase in annual operating revenues of $12.1</w:t>
      </w:r>
      <w:r w:rsidR="00B35537">
        <w:rPr>
          <w:rFonts w:ascii="Times New Roman" w:hAnsi="Times New Roman"/>
          <w:sz w:val="24"/>
          <w:szCs w:val="24"/>
        </w:rPr>
        <w:t> </w:t>
      </w:r>
      <w:r w:rsidR="007D731A">
        <w:rPr>
          <w:rFonts w:ascii="Times New Roman" w:hAnsi="Times New Roman"/>
          <w:sz w:val="24"/>
          <w:szCs w:val="24"/>
        </w:rPr>
        <w:t>million</w:t>
      </w:r>
      <w:r w:rsidR="007D731A" w:rsidRPr="007D731A">
        <w:rPr>
          <w:rFonts w:ascii="Times New Roman" w:hAnsi="Times New Roman"/>
          <w:sz w:val="24"/>
          <w:szCs w:val="24"/>
        </w:rPr>
        <w:t xml:space="preserve">, or an increase of 15 </w:t>
      </w:r>
      <w:r w:rsidR="007D731A" w:rsidRPr="00B35537">
        <w:rPr>
          <w:rFonts w:ascii="Times New Roman" w:hAnsi="Times New Roman"/>
          <w:sz w:val="24"/>
          <w:szCs w:val="24"/>
        </w:rPr>
        <w:t xml:space="preserve">percent over current revenues.  </w:t>
      </w:r>
      <w:r w:rsidR="00B35537">
        <w:rPr>
          <w:rFonts w:ascii="Times New Roman" w:hAnsi="Times New Roman"/>
          <w:sz w:val="24"/>
          <w:szCs w:val="24"/>
        </w:rPr>
        <w:t>T</w:t>
      </w:r>
      <w:r w:rsidR="00B35537" w:rsidRPr="00B35537">
        <w:rPr>
          <w:rFonts w:ascii="Times New Roman" w:hAnsi="Times New Roman"/>
          <w:sz w:val="24"/>
          <w:szCs w:val="24"/>
        </w:rPr>
        <w:t xml:space="preserve">he Company is </w:t>
      </w:r>
      <w:r w:rsidR="00B35537">
        <w:rPr>
          <w:rFonts w:ascii="Times New Roman" w:hAnsi="Times New Roman"/>
          <w:sz w:val="24"/>
          <w:szCs w:val="24"/>
        </w:rPr>
        <w:t xml:space="preserve">also </w:t>
      </w:r>
      <w:r w:rsidR="00B35537" w:rsidRPr="00B35537">
        <w:rPr>
          <w:rFonts w:ascii="Times New Roman" w:hAnsi="Times New Roman"/>
          <w:sz w:val="24"/>
          <w:szCs w:val="24"/>
        </w:rPr>
        <w:t xml:space="preserve">requesting to transfer $996,660 of revenues currently recovered through </w:t>
      </w:r>
      <w:r w:rsidR="00B35537">
        <w:rPr>
          <w:rFonts w:ascii="Times New Roman" w:hAnsi="Times New Roman"/>
          <w:sz w:val="24"/>
          <w:szCs w:val="24"/>
        </w:rPr>
        <w:t>its Distribution System Improvement Charge</w:t>
      </w:r>
      <w:r w:rsidR="00B35537" w:rsidRPr="00B35537">
        <w:rPr>
          <w:rFonts w:ascii="Times New Roman" w:hAnsi="Times New Roman"/>
          <w:sz w:val="24"/>
          <w:szCs w:val="24"/>
        </w:rPr>
        <w:t xml:space="preserve"> </w:t>
      </w:r>
      <w:r w:rsidR="00E3109E">
        <w:rPr>
          <w:rFonts w:ascii="Times New Roman" w:hAnsi="Times New Roman"/>
          <w:sz w:val="24"/>
          <w:szCs w:val="24"/>
        </w:rPr>
        <w:t xml:space="preserve">(“DSIC”) </w:t>
      </w:r>
      <w:r w:rsidR="00B35537" w:rsidRPr="00B35537">
        <w:rPr>
          <w:rFonts w:ascii="Times New Roman" w:hAnsi="Times New Roman"/>
          <w:sz w:val="24"/>
          <w:szCs w:val="24"/>
        </w:rPr>
        <w:t xml:space="preserve">into base distribution rates.  </w:t>
      </w:r>
    </w:p>
    <w:p w14:paraId="4E5D4E99" w14:textId="05ADB9E8" w:rsidR="00E3109E" w:rsidRDefault="00B35537" w:rsidP="007D731A">
      <w:pPr>
        <w:pStyle w:val="BodyTextIndent"/>
        <w:tabs>
          <w:tab w:val="left" w:pos="720"/>
        </w:tabs>
        <w:ind w:firstLine="0"/>
        <w:rPr>
          <w:rFonts w:ascii="Times New Roman" w:hAnsi="Times New Roman"/>
          <w:sz w:val="24"/>
          <w:szCs w:val="24"/>
        </w:rPr>
      </w:pPr>
      <w:r>
        <w:rPr>
          <w:rFonts w:ascii="Times New Roman" w:hAnsi="Times New Roman"/>
          <w:sz w:val="24"/>
          <w:szCs w:val="24"/>
        </w:rPr>
        <w:tab/>
      </w:r>
      <w:bookmarkStart w:id="1" w:name="_Hlk174099475"/>
      <w:r w:rsidR="00006D4D" w:rsidRPr="00B35537">
        <w:rPr>
          <w:rFonts w:ascii="Times New Roman" w:hAnsi="Times New Roman"/>
          <w:sz w:val="24"/>
          <w:szCs w:val="24"/>
        </w:rPr>
        <w:t xml:space="preserve">Compared to the rates currently in effect, </w:t>
      </w:r>
      <w:r w:rsidR="007D731A" w:rsidRPr="00B35537">
        <w:rPr>
          <w:rFonts w:ascii="Times New Roman" w:hAnsi="Times New Roman"/>
          <w:sz w:val="24"/>
          <w:szCs w:val="24"/>
        </w:rPr>
        <w:t>an average residential heating</w:t>
      </w:r>
      <w:r w:rsidR="007D731A" w:rsidRPr="007D731A">
        <w:rPr>
          <w:rFonts w:ascii="Times New Roman" w:hAnsi="Times New Roman"/>
          <w:sz w:val="24"/>
          <w:szCs w:val="24"/>
        </w:rPr>
        <w:t xml:space="preserve"> customer using 120 </w:t>
      </w:r>
      <w:proofErr w:type="spellStart"/>
      <w:r w:rsidR="007D731A" w:rsidRPr="007D731A">
        <w:rPr>
          <w:rFonts w:ascii="Times New Roman" w:hAnsi="Times New Roman"/>
          <w:sz w:val="24"/>
          <w:szCs w:val="24"/>
        </w:rPr>
        <w:t>Ccfs</w:t>
      </w:r>
      <w:proofErr w:type="spellEnd"/>
      <w:r w:rsidR="007D731A" w:rsidRPr="007D731A">
        <w:rPr>
          <w:rFonts w:ascii="Times New Roman" w:hAnsi="Times New Roman"/>
          <w:sz w:val="24"/>
          <w:szCs w:val="24"/>
        </w:rPr>
        <w:t xml:space="preserve"> during a winter month will experience an increase of $28 per month, or 18 </w:t>
      </w:r>
      <w:r w:rsidR="007D731A" w:rsidRPr="00DB1A33">
        <w:rPr>
          <w:rFonts w:ascii="Times New Roman" w:hAnsi="Times New Roman"/>
          <w:sz w:val="24"/>
          <w:szCs w:val="24"/>
        </w:rPr>
        <w:t xml:space="preserve">percent.  An average residential non-heating customer using 18 </w:t>
      </w:r>
      <w:proofErr w:type="spellStart"/>
      <w:r w:rsidR="007D731A" w:rsidRPr="00DB1A33">
        <w:rPr>
          <w:rFonts w:ascii="Times New Roman" w:hAnsi="Times New Roman"/>
          <w:sz w:val="24"/>
          <w:szCs w:val="24"/>
        </w:rPr>
        <w:t>Ccf</w:t>
      </w:r>
      <w:proofErr w:type="spellEnd"/>
      <w:r w:rsidR="007D731A" w:rsidRPr="00DB1A33">
        <w:rPr>
          <w:rFonts w:ascii="Times New Roman" w:hAnsi="Times New Roman"/>
          <w:sz w:val="24"/>
          <w:szCs w:val="24"/>
        </w:rPr>
        <w:t xml:space="preserve"> per month will experience an increase of $8 per month, or 20 percent</w:t>
      </w:r>
      <w:r w:rsidR="00006D4D" w:rsidRPr="00DB1A33">
        <w:rPr>
          <w:rFonts w:ascii="Times New Roman" w:hAnsi="Times New Roman"/>
          <w:sz w:val="24"/>
          <w:szCs w:val="24"/>
        </w:rPr>
        <w:t>.</w:t>
      </w:r>
      <w:r w:rsidR="00665842" w:rsidRPr="00DB1A33">
        <w:rPr>
          <w:rFonts w:ascii="Times New Roman" w:hAnsi="Times New Roman"/>
          <w:sz w:val="24"/>
          <w:szCs w:val="24"/>
        </w:rPr>
        <w:t xml:space="preserve">  </w:t>
      </w:r>
      <w:r w:rsidR="00DB1A33" w:rsidRPr="00DB1A33">
        <w:rPr>
          <w:rFonts w:ascii="Times New Roman" w:hAnsi="Times New Roman"/>
          <w:sz w:val="24"/>
          <w:szCs w:val="24"/>
        </w:rPr>
        <w:t xml:space="preserve">For commercial and industrial customers, the requested increases vary within </w:t>
      </w:r>
      <w:r w:rsidR="00DB1A33">
        <w:rPr>
          <w:rFonts w:ascii="Times New Roman" w:hAnsi="Times New Roman"/>
          <w:sz w:val="24"/>
          <w:szCs w:val="24"/>
        </w:rPr>
        <w:t xml:space="preserve">the existing </w:t>
      </w:r>
      <w:r w:rsidR="00DB1A33" w:rsidRPr="00DB1A33">
        <w:rPr>
          <w:rFonts w:ascii="Times New Roman" w:hAnsi="Times New Roman"/>
          <w:sz w:val="24"/>
          <w:szCs w:val="24"/>
        </w:rPr>
        <w:t>rate classes due to a proposed restructuring of the rate schedules</w:t>
      </w:r>
      <w:r w:rsidR="005148D8">
        <w:rPr>
          <w:rFonts w:ascii="Times New Roman" w:hAnsi="Times New Roman"/>
          <w:sz w:val="24"/>
          <w:szCs w:val="24"/>
        </w:rPr>
        <w:t xml:space="preserve"> by consumption</w:t>
      </w:r>
      <w:r w:rsidR="00DB1A33" w:rsidRPr="00DB1A33">
        <w:rPr>
          <w:rFonts w:ascii="Times New Roman" w:hAnsi="Times New Roman"/>
          <w:sz w:val="24"/>
          <w:szCs w:val="24"/>
        </w:rPr>
        <w:t xml:space="preserve">.  </w:t>
      </w:r>
      <w:bookmarkStart w:id="2" w:name="_Hlk174037807"/>
      <w:r w:rsidR="00DB1A33" w:rsidRPr="00DB1A33">
        <w:rPr>
          <w:rFonts w:ascii="Times New Roman" w:hAnsi="Times New Roman"/>
          <w:sz w:val="24"/>
          <w:szCs w:val="24"/>
        </w:rPr>
        <w:t xml:space="preserve">However, </w:t>
      </w:r>
      <w:r w:rsidR="001C37FE">
        <w:rPr>
          <w:rFonts w:ascii="Times New Roman" w:hAnsi="Times New Roman"/>
          <w:sz w:val="24"/>
          <w:szCs w:val="24"/>
        </w:rPr>
        <w:t xml:space="preserve">based on </w:t>
      </w:r>
      <w:r w:rsidR="005148D8">
        <w:rPr>
          <w:rFonts w:ascii="Times New Roman" w:hAnsi="Times New Roman"/>
          <w:sz w:val="24"/>
          <w:szCs w:val="24"/>
        </w:rPr>
        <w:t xml:space="preserve">average consumption from January 2023, </w:t>
      </w:r>
      <w:r w:rsidR="00E3109E">
        <w:rPr>
          <w:rFonts w:ascii="Times New Roman" w:hAnsi="Times New Roman"/>
          <w:sz w:val="24"/>
          <w:szCs w:val="24"/>
        </w:rPr>
        <w:t xml:space="preserve">the following </w:t>
      </w:r>
      <w:r w:rsidR="005148D8">
        <w:rPr>
          <w:rFonts w:ascii="Times New Roman" w:hAnsi="Times New Roman"/>
          <w:sz w:val="24"/>
          <w:szCs w:val="24"/>
        </w:rPr>
        <w:t xml:space="preserve">ranges provide </w:t>
      </w:r>
      <w:r w:rsidR="00E3109E">
        <w:rPr>
          <w:rFonts w:ascii="Times New Roman" w:hAnsi="Times New Roman"/>
          <w:sz w:val="24"/>
          <w:szCs w:val="24"/>
        </w:rPr>
        <w:t>a</w:t>
      </w:r>
      <w:r w:rsidR="005148D8">
        <w:rPr>
          <w:rFonts w:ascii="Times New Roman" w:hAnsi="Times New Roman"/>
          <w:sz w:val="24"/>
          <w:szCs w:val="24"/>
        </w:rPr>
        <w:t xml:space="preserve">n estimate </w:t>
      </w:r>
      <w:r w:rsidR="00E3109E">
        <w:rPr>
          <w:rFonts w:ascii="Times New Roman" w:hAnsi="Times New Roman"/>
          <w:sz w:val="24"/>
          <w:szCs w:val="24"/>
        </w:rPr>
        <w:t>the proposed increases: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2470"/>
        <w:gridCol w:w="2070"/>
        <w:gridCol w:w="2065"/>
      </w:tblGrid>
      <w:tr w:rsidR="00B36CAF" w:rsidRPr="00B854EE" w14:paraId="2E30FE27" w14:textId="77777777" w:rsidTr="005148D8">
        <w:tc>
          <w:tcPr>
            <w:tcW w:w="2745" w:type="dxa"/>
            <w:tcBorders>
              <w:top w:val="single" w:sz="4" w:space="0" w:color="auto"/>
              <w:left w:val="single" w:sz="4" w:space="0" w:color="auto"/>
              <w:bottom w:val="single" w:sz="4" w:space="0" w:color="auto"/>
              <w:right w:val="single" w:sz="4" w:space="0" w:color="auto"/>
            </w:tcBorders>
            <w:hideMark/>
          </w:tcPr>
          <w:p w14:paraId="7A53B864" w14:textId="77777777" w:rsidR="00B36CAF" w:rsidRPr="0026473C" w:rsidRDefault="00B36CAF" w:rsidP="002406A2">
            <w:pPr>
              <w:tabs>
                <w:tab w:val="left" w:pos="3528"/>
              </w:tabs>
              <w:jc w:val="center"/>
              <w:rPr>
                <w:b/>
                <w:szCs w:val="24"/>
              </w:rPr>
            </w:pPr>
            <w:r w:rsidRPr="0026473C">
              <w:rPr>
                <w:b/>
                <w:szCs w:val="24"/>
              </w:rPr>
              <w:t>Rate Schedule</w:t>
            </w:r>
          </w:p>
        </w:tc>
        <w:tc>
          <w:tcPr>
            <w:tcW w:w="2470" w:type="dxa"/>
            <w:tcBorders>
              <w:top w:val="single" w:sz="4" w:space="0" w:color="auto"/>
              <w:left w:val="single" w:sz="4" w:space="0" w:color="auto"/>
              <w:bottom w:val="single" w:sz="4" w:space="0" w:color="auto"/>
              <w:right w:val="single" w:sz="4" w:space="0" w:color="auto"/>
            </w:tcBorders>
          </w:tcPr>
          <w:p w14:paraId="4898CE44" w14:textId="0BC17B45" w:rsidR="00B36CAF" w:rsidRDefault="00B36CAF" w:rsidP="005148D8">
            <w:pPr>
              <w:tabs>
                <w:tab w:val="left" w:pos="3528"/>
              </w:tabs>
              <w:jc w:val="center"/>
              <w:rPr>
                <w:b/>
                <w:szCs w:val="24"/>
              </w:rPr>
            </w:pPr>
            <w:r>
              <w:rPr>
                <w:b/>
                <w:szCs w:val="24"/>
              </w:rPr>
              <w:t>Consumption</w:t>
            </w:r>
            <w:r w:rsidR="005148D8">
              <w:rPr>
                <w:b/>
                <w:szCs w:val="24"/>
              </w:rPr>
              <w:t xml:space="preserve"> (</w:t>
            </w:r>
            <w:proofErr w:type="spellStart"/>
            <w:r w:rsidR="005148D8">
              <w:rPr>
                <w:b/>
                <w:szCs w:val="24"/>
              </w:rPr>
              <w:t>Ccf</w:t>
            </w:r>
            <w:proofErr w:type="spellEnd"/>
            <w:r w:rsidR="005148D8">
              <w:rPr>
                <w:b/>
                <w:szCs w:val="24"/>
              </w:rPr>
              <w:t>)</w:t>
            </w:r>
          </w:p>
        </w:tc>
        <w:tc>
          <w:tcPr>
            <w:tcW w:w="2070" w:type="dxa"/>
            <w:tcBorders>
              <w:top w:val="single" w:sz="4" w:space="0" w:color="auto"/>
              <w:left w:val="single" w:sz="4" w:space="0" w:color="auto"/>
              <w:bottom w:val="single" w:sz="4" w:space="0" w:color="auto"/>
              <w:right w:val="single" w:sz="4" w:space="0" w:color="auto"/>
            </w:tcBorders>
            <w:hideMark/>
          </w:tcPr>
          <w:p w14:paraId="78D5BCDA" w14:textId="4BC159BD" w:rsidR="00B36CAF" w:rsidRPr="0026473C" w:rsidRDefault="00B36CAF" w:rsidP="002406A2">
            <w:pPr>
              <w:tabs>
                <w:tab w:val="left" w:pos="3528"/>
              </w:tabs>
              <w:jc w:val="center"/>
              <w:rPr>
                <w:b/>
                <w:szCs w:val="24"/>
              </w:rPr>
            </w:pPr>
            <w:r>
              <w:rPr>
                <w:b/>
                <w:szCs w:val="24"/>
              </w:rPr>
              <w:t>Dollar Increase</w:t>
            </w:r>
          </w:p>
        </w:tc>
        <w:tc>
          <w:tcPr>
            <w:tcW w:w="2065" w:type="dxa"/>
            <w:tcBorders>
              <w:top w:val="single" w:sz="4" w:space="0" w:color="auto"/>
              <w:left w:val="single" w:sz="4" w:space="0" w:color="auto"/>
              <w:bottom w:val="single" w:sz="4" w:space="0" w:color="auto"/>
              <w:right w:val="single" w:sz="4" w:space="0" w:color="auto"/>
            </w:tcBorders>
            <w:hideMark/>
          </w:tcPr>
          <w:p w14:paraId="3ABAE005" w14:textId="148DF889" w:rsidR="00B36CAF" w:rsidRPr="0026473C" w:rsidRDefault="00B36CAF" w:rsidP="002406A2">
            <w:pPr>
              <w:tabs>
                <w:tab w:val="left" w:pos="3528"/>
              </w:tabs>
              <w:jc w:val="center"/>
              <w:rPr>
                <w:b/>
                <w:szCs w:val="24"/>
              </w:rPr>
            </w:pPr>
            <w:r>
              <w:rPr>
                <w:b/>
                <w:szCs w:val="24"/>
              </w:rPr>
              <w:t>Percent Increase</w:t>
            </w:r>
          </w:p>
        </w:tc>
      </w:tr>
      <w:tr w:rsidR="00B36CAF" w:rsidRPr="00B854EE" w14:paraId="617532FE" w14:textId="77777777" w:rsidTr="005148D8">
        <w:tc>
          <w:tcPr>
            <w:tcW w:w="2745" w:type="dxa"/>
            <w:tcBorders>
              <w:top w:val="single" w:sz="4" w:space="0" w:color="auto"/>
              <w:left w:val="single" w:sz="4" w:space="0" w:color="auto"/>
              <w:bottom w:val="single" w:sz="4" w:space="0" w:color="auto"/>
              <w:right w:val="single" w:sz="4" w:space="0" w:color="auto"/>
            </w:tcBorders>
            <w:hideMark/>
          </w:tcPr>
          <w:p w14:paraId="2892EBF2" w14:textId="33120693" w:rsidR="00B36CAF" w:rsidRPr="0026473C" w:rsidRDefault="00B36CAF" w:rsidP="005148D8">
            <w:pPr>
              <w:tabs>
                <w:tab w:val="left" w:pos="3528"/>
              </w:tabs>
              <w:rPr>
                <w:szCs w:val="24"/>
              </w:rPr>
            </w:pPr>
            <w:r>
              <w:rPr>
                <w:szCs w:val="24"/>
              </w:rPr>
              <w:t>General Service</w:t>
            </w:r>
          </w:p>
        </w:tc>
        <w:tc>
          <w:tcPr>
            <w:tcW w:w="2470" w:type="dxa"/>
            <w:tcBorders>
              <w:top w:val="single" w:sz="4" w:space="0" w:color="auto"/>
              <w:left w:val="single" w:sz="4" w:space="0" w:color="auto"/>
              <w:bottom w:val="single" w:sz="4" w:space="0" w:color="auto"/>
              <w:right w:val="single" w:sz="4" w:space="0" w:color="auto"/>
            </w:tcBorders>
          </w:tcPr>
          <w:p w14:paraId="5DE13F20" w14:textId="173843CB" w:rsidR="00B36CAF" w:rsidRDefault="00B36CAF" w:rsidP="002406A2">
            <w:pPr>
              <w:tabs>
                <w:tab w:val="left" w:pos="3528"/>
              </w:tabs>
              <w:jc w:val="center"/>
            </w:pPr>
            <w:r>
              <w:t xml:space="preserve">274 </w:t>
            </w:r>
          </w:p>
        </w:tc>
        <w:tc>
          <w:tcPr>
            <w:tcW w:w="2070" w:type="dxa"/>
            <w:tcBorders>
              <w:top w:val="single" w:sz="4" w:space="0" w:color="auto"/>
              <w:left w:val="single" w:sz="4" w:space="0" w:color="auto"/>
              <w:bottom w:val="single" w:sz="4" w:space="0" w:color="auto"/>
              <w:right w:val="single" w:sz="4" w:space="0" w:color="auto"/>
            </w:tcBorders>
            <w:hideMark/>
          </w:tcPr>
          <w:p w14:paraId="27726B39" w14:textId="2DD65C0F" w:rsidR="00B36CAF" w:rsidRPr="0026473C" w:rsidRDefault="00B36CAF" w:rsidP="002406A2">
            <w:pPr>
              <w:tabs>
                <w:tab w:val="left" w:pos="3528"/>
              </w:tabs>
              <w:jc w:val="center"/>
            </w:pPr>
            <w:r>
              <w:t>$66</w:t>
            </w:r>
          </w:p>
        </w:tc>
        <w:tc>
          <w:tcPr>
            <w:tcW w:w="2065" w:type="dxa"/>
            <w:tcBorders>
              <w:top w:val="single" w:sz="4" w:space="0" w:color="auto"/>
              <w:left w:val="single" w:sz="4" w:space="0" w:color="auto"/>
              <w:bottom w:val="single" w:sz="4" w:space="0" w:color="auto"/>
              <w:right w:val="single" w:sz="4" w:space="0" w:color="auto"/>
            </w:tcBorders>
            <w:hideMark/>
          </w:tcPr>
          <w:p w14:paraId="6B88280C" w14:textId="7A231DA7" w:rsidR="00B36CAF" w:rsidRPr="0026473C" w:rsidRDefault="00B36CAF" w:rsidP="002406A2">
            <w:pPr>
              <w:tabs>
                <w:tab w:val="left" w:pos="3528"/>
              </w:tabs>
              <w:jc w:val="center"/>
            </w:pPr>
            <w:r>
              <w:t>21%</w:t>
            </w:r>
          </w:p>
        </w:tc>
      </w:tr>
      <w:tr w:rsidR="00B36CAF" w:rsidRPr="00B854EE" w14:paraId="29F7B328" w14:textId="77777777" w:rsidTr="005148D8">
        <w:tc>
          <w:tcPr>
            <w:tcW w:w="2745" w:type="dxa"/>
            <w:tcBorders>
              <w:top w:val="single" w:sz="4" w:space="0" w:color="auto"/>
              <w:left w:val="single" w:sz="4" w:space="0" w:color="auto"/>
              <w:bottom w:val="single" w:sz="4" w:space="0" w:color="auto"/>
              <w:right w:val="single" w:sz="4" w:space="0" w:color="auto"/>
            </w:tcBorders>
            <w:hideMark/>
          </w:tcPr>
          <w:p w14:paraId="683223FF" w14:textId="4769159B" w:rsidR="00B36CAF" w:rsidRPr="0026473C" w:rsidRDefault="00B36CAF" w:rsidP="005148D8">
            <w:pPr>
              <w:tabs>
                <w:tab w:val="left" w:pos="3528"/>
              </w:tabs>
              <w:rPr>
                <w:szCs w:val="24"/>
              </w:rPr>
            </w:pPr>
            <w:r>
              <w:rPr>
                <w:szCs w:val="24"/>
              </w:rPr>
              <w:t>Medium Volume Service</w:t>
            </w:r>
          </w:p>
        </w:tc>
        <w:tc>
          <w:tcPr>
            <w:tcW w:w="2470" w:type="dxa"/>
            <w:tcBorders>
              <w:top w:val="single" w:sz="4" w:space="0" w:color="auto"/>
              <w:left w:val="single" w:sz="4" w:space="0" w:color="auto"/>
              <w:bottom w:val="single" w:sz="4" w:space="0" w:color="auto"/>
              <w:right w:val="single" w:sz="4" w:space="0" w:color="auto"/>
            </w:tcBorders>
          </w:tcPr>
          <w:p w14:paraId="1587BF2F" w14:textId="1256AB08" w:rsidR="00B36CAF" w:rsidRDefault="00B36CAF" w:rsidP="002406A2">
            <w:pPr>
              <w:tabs>
                <w:tab w:val="left" w:pos="3528"/>
              </w:tabs>
              <w:jc w:val="center"/>
            </w:pPr>
            <w:r>
              <w:t>1,210 – 2,329</w:t>
            </w:r>
          </w:p>
        </w:tc>
        <w:tc>
          <w:tcPr>
            <w:tcW w:w="2070" w:type="dxa"/>
            <w:tcBorders>
              <w:top w:val="single" w:sz="4" w:space="0" w:color="auto"/>
              <w:left w:val="single" w:sz="4" w:space="0" w:color="auto"/>
              <w:bottom w:val="single" w:sz="4" w:space="0" w:color="auto"/>
              <w:right w:val="single" w:sz="4" w:space="0" w:color="auto"/>
            </w:tcBorders>
            <w:hideMark/>
          </w:tcPr>
          <w:p w14:paraId="669BD2CA" w14:textId="5D90485D" w:rsidR="00B36CAF" w:rsidRPr="0026473C" w:rsidRDefault="00B36CAF" w:rsidP="002406A2">
            <w:pPr>
              <w:tabs>
                <w:tab w:val="left" w:pos="3528"/>
              </w:tabs>
              <w:jc w:val="center"/>
            </w:pPr>
            <w:r>
              <w:t xml:space="preserve">$158 - </w:t>
            </w:r>
            <w:r w:rsidR="005148D8">
              <w:t>$</w:t>
            </w:r>
            <w:r>
              <w:t>287</w:t>
            </w:r>
          </w:p>
        </w:tc>
        <w:tc>
          <w:tcPr>
            <w:tcW w:w="2065" w:type="dxa"/>
            <w:tcBorders>
              <w:top w:val="single" w:sz="4" w:space="0" w:color="auto"/>
              <w:left w:val="single" w:sz="4" w:space="0" w:color="auto"/>
              <w:bottom w:val="single" w:sz="4" w:space="0" w:color="auto"/>
              <w:right w:val="single" w:sz="4" w:space="0" w:color="auto"/>
            </w:tcBorders>
            <w:hideMark/>
          </w:tcPr>
          <w:p w14:paraId="02F27178" w14:textId="1A9F34F6" w:rsidR="00B36CAF" w:rsidRPr="0026473C" w:rsidRDefault="00B36CAF" w:rsidP="002406A2">
            <w:pPr>
              <w:tabs>
                <w:tab w:val="left" w:pos="3528"/>
              </w:tabs>
              <w:jc w:val="center"/>
            </w:pPr>
            <w:r>
              <w:t>12%</w:t>
            </w:r>
          </w:p>
        </w:tc>
      </w:tr>
      <w:tr w:rsidR="00B36CAF" w:rsidRPr="00B854EE" w14:paraId="752CF6EA" w14:textId="77777777" w:rsidTr="005148D8">
        <w:tc>
          <w:tcPr>
            <w:tcW w:w="2745" w:type="dxa"/>
            <w:tcBorders>
              <w:top w:val="single" w:sz="4" w:space="0" w:color="auto"/>
              <w:left w:val="single" w:sz="4" w:space="0" w:color="auto"/>
              <w:bottom w:val="single" w:sz="4" w:space="0" w:color="auto"/>
              <w:right w:val="single" w:sz="4" w:space="0" w:color="auto"/>
            </w:tcBorders>
            <w:hideMark/>
          </w:tcPr>
          <w:p w14:paraId="1EA0BF9B" w14:textId="2F6BE638" w:rsidR="00B36CAF" w:rsidRPr="0026473C" w:rsidRDefault="00B36CAF" w:rsidP="005148D8">
            <w:pPr>
              <w:tabs>
                <w:tab w:val="left" w:pos="3528"/>
              </w:tabs>
              <w:rPr>
                <w:szCs w:val="24"/>
              </w:rPr>
            </w:pPr>
            <w:r>
              <w:rPr>
                <w:szCs w:val="24"/>
              </w:rPr>
              <w:t>Large Volume Service</w:t>
            </w:r>
          </w:p>
        </w:tc>
        <w:tc>
          <w:tcPr>
            <w:tcW w:w="2470" w:type="dxa"/>
            <w:tcBorders>
              <w:top w:val="single" w:sz="4" w:space="0" w:color="auto"/>
              <w:left w:val="single" w:sz="4" w:space="0" w:color="auto"/>
              <w:bottom w:val="single" w:sz="4" w:space="0" w:color="auto"/>
              <w:right w:val="single" w:sz="4" w:space="0" w:color="auto"/>
            </w:tcBorders>
          </w:tcPr>
          <w:p w14:paraId="021C78C0" w14:textId="096BAAAE" w:rsidR="00B36CAF" w:rsidRDefault="00B36CAF" w:rsidP="002406A2">
            <w:pPr>
              <w:tabs>
                <w:tab w:val="left" w:pos="3528"/>
              </w:tabs>
              <w:jc w:val="center"/>
            </w:pPr>
            <w:r>
              <w:t>4,994 – 242,020</w:t>
            </w:r>
          </w:p>
        </w:tc>
        <w:tc>
          <w:tcPr>
            <w:tcW w:w="2070" w:type="dxa"/>
            <w:tcBorders>
              <w:top w:val="single" w:sz="4" w:space="0" w:color="auto"/>
              <w:left w:val="single" w:sz="4" w:space="0" w:color="auto"/>
              <w:bottom w:val="single" w:sz="4" w:space="0" w:color="auto"/>
              <w:right w:val="single" w:sz="4" w:space="0" w:color="auto"/>
            </w:tcBorders>
            <w:hideMark/>
          </w:tcPr>
          <w:p w14:paraId="17E35F06" w14:textId="7BE05363" w:rsidR="00B36CAF" w:rsidRPr="0026473C" w:rsidRDefault="00B36CAF" w:rsidP="002406A2">
            <w:pPr>
              <w:tabs>
                <w:tab w:val="left" w:pos="3528"/>
              </w:tabs>
              <w:jc w:val="center"/>
            </w:pPr>
            <w:r>
              <w:t xml:space="preserve">$367 </w:t>
            </w:r>
            <w:r w:rsidR="005148D8">
              <w:t>-</w:t>
            </w:r>
            <w:r>
              <w:t xml:space="preserve"> </w:t>
            </w:r>
            <w:r w:rsidR="005148D8">
              <w:t>$</w:t>
            </w:r>
            <w:r>
              <w:t>9</w:t>
            </w:r>
            <w:r w:rsidR="005148D8">
              <w:t>,</w:t>
            </w:r>
            <w:r>
              <w:t xml:space="preserve">688 </w:t>
            </w:r>
          </w:p>
        </w:tc>
        <w:tc>
          <w:tcPr>
            <w:tcW w:w="2065" w:type="dxa"/>
            <w:tcBorders>
              <w:top w:val="single" w:sz="4" w:space="0" w:color="auto"/>
              <w:left w:val="single" w:sz="4" w:space="0" w:color="auto"/>
              <w:bottom w:val="single" w:sz="4" w:space="0" w:color="auto"/>
              <w:right w:val="single" w:sz="4" w:space="0" w:color="auto"/>
            </w:tcBorders>
            <w:hideMark/>
          </w:tcPr>
          <w:p w14:paraId="08C12820" w14:textId="24C8496E" w:rsidR="00B36CAF" w:rsidRPr="0026473C" w:rsidRDefault="00B36CAF" w:rsidP="002406A2">
            <w:pPr>
              <w:tabs>
                <w:tab w:val="left" w:pos="3528"/>
              </w:tabs>
              <w:jc w:val="center"/>
            </w:pPr>
            <w:r>
              <w:t>4% - 7%</w:t>
            </w:r>
          </w:p>
        </w:tc>
      </w:tr>
      <w:tr w:rsidR="00B36CAF" w:rsidRPr="00B854EE" w14:paraId="0D09AD02" w14:textId="77777777" w:rsidTr="005148D8">
        <w:tc>
          <w:tcPr>
            <w:tcW w:w="2745" w:type="dxa"/>
            <w:tcBorders>
              <w:top w:val="single" w:sz="4" w:space="0" w:color="auto"/>
              <w:left w:val="single" w:sz="4" w:space="0" w:color="auto"/>
              <w:bottom w:val="single" w:sz="4" w:space="0" w:color="auto"/>
              <w:right w:val="single" w:sz="4" w:space="0" w:color="auto"/>
            </w:tcBorders>
            <w:hideMark/>
          </w:tcPr>
          <w:p w14:paraId="59095E0D" w14:textId="248CA2EB" w:rsidR="00B36CAF" w:rsidRPr="0026473C" w:rsidRDefault="00B36CAF" w:rsidP="005148D8">
            <w:pPr>
              <w:tabs>
                <w:tab w:val="left" w:pos="3528"/>
              </w:tabs>
              <w:rPr>
                <w:szCs w:val="24"/>
              </w:rPr>
            </w:pPr>
            <w:r>
              <w:rPr>
                <w:szCs w:val="24"/>
              </w:rPr>
              <w:t>High Load Factor Service</w:t>
            </w:r>
          </w:p>
        </w:tc>
        <w:tc>
          <w:tcPr>
            <w:tcW w:w="2470" w:type="dxa"/>
            <w:tcBorders>
              <w:top w:val="single" w:sz="4" w:space="0" w:color="auto"/>
              <w:left w:val="single" w:sz="4" w:space="0" w:color="auto"/>
              <w:bottom w:val="single" w:sz="4" w:space="0" w:color="auto"/>
              <w:right w:val="single" w:sz="4" w:space="0" w:color="auto"/>
            </w:tcBorders>
          </w:tcPr>
          <w:p w14:paraId="54AD1FA7" w14:textId="203695D9" w:rsidR="00B36CAF" w:rsidRDefault="00B36CAF" w:rsidP="002406A2">
            <w:pPr>
              <w:tabs>
                <w:tab w:val="left" w:pos="3528"/>
              </w:tabs>
              <w:jc w:val="center"/>
            </w:pPr>
            <w:r>
              <w:t>709 – 18,868</w:t>
            </w:r>
          </w:p>
        </w:tc>
        <w:tc>
          <w:tcPr>
            <w:tcW w:w="2070" w:type="dxa"/>
            <w:tcBorders>
              <w:top w:val="single" w:sz="4" w:space="0" w:color="auto"/>
              <w:left w:val="single" w:sz="4" w:space="0" w:color="auto"/>
              <w:bottom w:val="single" w:sz="4" w:space="0" w:color="auto"/>
              <w:right w:val="single" w:sz="4" w:space="0" w:color="auto"/>
            </w:tcBorders>
            <w:hideMark/>
          </w:tcPr>
          <w:p w14:paraId="5769FA0E" w14:textId="6C53F535" w:rsidR="00B36CAF" w:rsidRPr="0026473C" w:rsidRDefault="00B36CAF" w:rsidP="002406A2">
            <w:pPr>
              <w:tabs>
                <w:tab w:val="left" w:pos="3528"/>
              </w:tabs>
              <w:jc w:val="center"/>
            </w:pPr>
            <w:r>
              <w:t xml:space="preserve">$69 - </w:t>
            </w:r>
            <w:r w:rsidR="005148D8">
              <w:t>$</w:t>
            </w:r>
            <w:r>
              <w:t>816</w:t>
            </w:r>
          </w:p>
        </w:tc>
        <w:tc>
          <w:tcPr>
            <w:tcW w:w="2065" w:type="dxa"/>
            <w:tcBorders>
              <w:top w:val="single" w:sz="4" w:space="0" w:color="auto"/>
              <w:left w:val="single" w:sz="4" w:space="0" w:color="auto"/>
              <w:bottom w:val="single" w:sz="4" w:space="0" w:color="auto"/>
              <w:right w:val="single" w:sz="4" w:space="0" w:color="auto"/>
            </w:tcBorders>
            <w:hideMark/>
          </w:tcPr>
          <w:p w14:paraId="17AAC30E" w14:textId="53E17AB2" w:rsidR="00B36CAF" w:rsidRPr="0026473C" w:rsidRDefault="00B36CAF" w:rsidP="002406A2">
            <w:pPr>
              <w:tabs>
                <w:tab w:val="left" w:pos="3528"/>
              </w:tabs>
              <w:jc w:val="center"/>
            </w:pPr>
            <w:r>
              <w:t>5% - 9%</w:t>
            </w:r>
          </w:p>
        </w:tc>
      </w:tr>
    </w:tbl>
    <w:p w14:paraId="619B0F87" w14:textId="77777777" w:rsidR="00E3109E" w:rsidRDefault="00E3109E" w:rsidP="00E3109E">
      <w:pPr>
        <w:tabs>
          <w:tab w:val="left" w:pos="3528"/>
        </w:tabs>
        <w:spacing w:line="480" w:lineRule="auto"/>
        <w:ind w:firstLine="720"/>
        <w:jc w:val="both"/>
      </w:pPr>
    </w:p>
    <w:bookmarkEnd w:id="1"/>
    <w:p w14:paraId="783B8AC9" w14:textId="6C1F26F5" w:rsidR="00DB1A33" w:rsidRPr="005148D8" w:rsidRDefault="00E3109E" w:rsidP="005148D8">
      <w:pPr>
        <w:pStyle w:val="BodyTextIndent"/>
        <w:tabs>
          <w:tab w:val="left" w:pos="720"/>
        </w:tabs>
        <w:ind w:firstLine="0"/>
        <w:rPr>
          <w:rFonts w:ascii="Times New Roman" w:hAnsi="Times New Roman"/>
          <w:snapToGrid w:val="0"/>
          <w:sz w:val="24"/>
          <w:szCs w:val="24"/>
        </w:rPr>
      </w:pPr>
      <w:r w:rsidRPr="005148D8">
        <w:rPr>
          <w:rFonts w:ascii="Times New Roman" w:hAnsi="Times New Roman"/>
          <w:sz w:val="24"/>
          <w:szCs w:val="24"/>
        </w:rPr>
        <w:tab/>
      </w:r>
      <w:bookmarkEnd w:id="2"/>
      <w:r w:rsidR="00DB1A33" w:rsidRPr="005148D8">
        <w:rPr>
          <w:rFonts w:ascii="Times New Roman" w:hAnsi="Times New Roman"/>
          <w:sz w:val="24"/>
          <w:szCs w:val="24"/>
        </w:rPr>
        <w:t xml:space="preserve">On September 18, 2024, in Order No. </w:t>
      </w:r>
      <w:r w:rsidR="00772400">
        <w:rPr>
          <w:rFonts w:ascii="Times New Roman" w:hAnsi="Times New Roman"/>
          <w:sz w:val="24"/>
          <w:szCs w:val="24"/>
        </w:rPr>
        <w:t>10534</w:t>
      </w:r>
      <w:r w:rsidR="00DB1A33" w:rsidRPr="005148D8">
        <w:rPr>
          <w:rFonts w:ascii="Times New Roman" w:hAnsi="Times New Roman"/>
          <w:sz w:val="24"/>
          <w:szCs w:val="24"/>
        </w:rPr>
        <w:t xml:space="preserve">, the Commission, pursuant to 26 </w:t>
      </w:r>
      <w:r w:rsidR="00DB1A33" w:rsidRPr="005148D8">
        <w:rPr>
          <w:rFonts w:ascii="Times New Roman" w:hAnsi="Times New Roman"/>
          <w:i/>
          <w:sz w:val="24"/>
          <w:szCs w:val="24"/>
        </w:rPr>
        <w:t>Del. C.</w:t>
      </w:r>
      <w:r w:rsidR="00DB1A33" w:rsidRPr="005148D8">
        <w:rPr>
          <w:rFonts w:ascii="Times New Roman" w:hAnsi="Times New Roman"/>
          <w:sz w:val="24"/>
          <w:szCs w:val="24"/>
        </w:rPr>
        <w:t xml:space="preserve"> § 306(a)(1), suspended the effect of the proposed changes pending further investigation, a public comment session, and public evidentiary hearings, which will be held later after further public notice.  </w:t>
      </w:r>
      <w:r w:rsidR="00DB1A33" w:rsidRPr="005148D8">
        <w:rPr>
          <w:rFonts w:ascii="Times New Roman" w:hAnsi="Times New Roman"/>
          <w:snapToGrid w:val="0"/>
          <w:sz w:val="24"/>
          <w:szCs w:val="24"/>
        </w:rPr>
        <w:t xml:space="preserve">However, in Order No. </w:t>
      </w:r>
      <w:r w:rsidR="00772400">
        <w:rPr>
          <w:rFonts w:ascii="Times New Roman" w:hAnsi="Times New Roman"/>
          <w:snapToGrid w:val="0"/>
          <w:sz w:val="24"/>
          <w:szCs w:val="24"/>
        </w:rPr>
        <w:t>10534</w:t>
      </w:r>
      <w:r w:rsidR="00772400" w:rsidRPr="005148D8">
        <w:rPr>
          <w:rFonts w:ascii="Times New Roman" w:hAnsi="Times New Roman"/>
          <w:snapToGrid w:val="0"/>
          <w:sz w:val="24"/>
          <w:szCs w:val="24"/>
        </w:rPr>
        <w:t xml:space="preserve"> </w:t>
      </w:r>
      <w:r w:rsidR="00DB1A33" w:rsidRPr="005148D8">
        <w:rPr>
          <w:rFonts w:ascii="Times New Roman" w:hAnsi="Times New Roman"/>
          <w:snapToGrid w:val="0"/>
          <w:sz w:val="24"/>
          <w:szCs w:val="24"/>
        </w:rPr>
        <w:t xml:space="preserve">the Commission authorized Chesapeake to place </w:t>
      </w:r>
      <w:r w:rsidR="002407AE" w:rsidRPr="005148D8">
        <w:rPr>
          <w:rFonts w:ascii="Times New Roman" w:hAnsi="Times New Roman"/>
          <w:snapToGrid w:val="0"/>
          <w:sz w:val="24"/>
          <w:szCs w:val="24"/>
        </w:rPr>
        <w:t>$2.5 million</w:t>
      </w:r>
      <w:r w:rsidR="00DB1A33" w:rsidRPr="005148D8">
        <w:rPr>
          <w:rFonts w:ascii="Times New Roman" w:hAnsi="Times New Roman"/>
          <w:snapToGrid w:val="0"/>
          <w:sz w:val="24"/>
          <w:szCs w:val="24"/>
        </w:rPr>
        <w:t xml:space="preserve"> of its proposed increases into effect subject to refund, pursuant to 26 </w:t>
      </w:r>
      <w:r w:rsidR="00DB1A33" w:rsidRPr="005148D8">
        <w:rPr>
          <w:rFonts w:ascii="Times New Roman" w:hAnsi="Times New Roman"/>
          <w:i/>
          <w:snapToGrid w:val="0"/>
          <w:sz w:val="24"/>
          <w:szCs w:val="24"/>
        </w:rPr>
        <w:t>Del. C.</w:t>
      </w:r>
      <w:r w:rsidR="00DB1A33" w:rsidRPr="005148D8">
        <w:rPr>
          <w:rFonts w:ascii="Times New Roman" w:hAnsi="Times New Roman"/>
          <w:snapToGrid w:val="0"/>
          <w:sz w:val="24"/>
          <w:szCs w:val="24"/>
        </w:rPr>
        <w:t xml:space="preserve"> §306(c), sixty (60) days after the initial August 12, 2024 filing date, or on October 11, 2024.  </w:t>
      </w:r>
      <w:r w:rsidR="002407AE" w:rsidRPr="005148D8">
        <w:rPr>
          <w:rFonts w:ascii="Times New Roman" w:hAnsi="Times New Roman"/>
          <w:snapToGrid w:val="0"/>
          <w:sz w:val="24"/>
          <w:szCs w:val="24"/>
        </w:rPr>
        <w:t>The interim rates will increase total bills for all customers</w:t>
      </w:r>
      <w:r w:rsidR="008C79AC" w:rsidRPr="005148D8">
        <w:rPr>
          <w:rFonts w:ascii="Times New Roman" w:hAnsi="Times New Roman"/>
          <w:snapToGrid w:val="0"/>
          <w:sz w:val="24"/>
          <w:szCs w:val="24"/>
        </w:rPr>
        <w:t xml:space="preserve"> with average use </w:t>
      </w:r>
      <w:r w:rsidR="002407AE" w:rsidRPr="005148D8">
        <w:rPr>
          <w:rFonts w:ascii="Times New Roman" w:hAnsi="Times New Roman"/>
          <w:snapToGrid w:val="0"/>
          <w:sz w:val="24"/>
          <w:szCs w:val="24"/>
        </w:rPr>
        <w:t>by approximately 3.</w:t>
      </w:r>
      <w:r w:rsidR="002623DA" w:rsidRPr="005148D8">
        <w:rPr>
          <w:rFonts w:ascii="Times New Roman" w:hAnsi="Times New Roman"/>
          <w:snapToGrid w:val="0"/>
          <w:sz w:val="24"/>
          <w:szCs w:val="24"/>
        </w:rPr>
        <w:t>2</w:t>
      </w:r>
      <w:r w:rsidR="002407AE" w:rsidRPr="005148D8">
        <w:rPr>
          <w:rFonts w:ascii="Times New Roman" w:hAnsi="Times New Roman"/>
          <w:snapToGrid w:val="0"/>
          <w:sz w:val="24"/>
          <w:szCs w:val="24"/>
        </w:rPr>
        <w:t xml:space="preserve"> percent.</w:t>
      </w:r>
    </w:p>
    <w:p w14:paraId="1F48311D" w14:textId="24F55E97" w:rsidR="00DB1A33" w:rsidRDefault="00DB1A33" w:rsidP="00DB1A33">
      <w:pPr>
        <w:spacing w:line="480" w:lineRule="auto"/>
        <w:ind w:firstLine="720"/>
        <w:jc w:val="both"/>
        <w:rPr>
          <w:snapToGrid w:val="0"/>
          <w:szCs w:val="24"/>
        </w:rPr>
      </w:pPr>
      <w:r w:rsidRPr="00DB1A33">
        <w:rPr>
          <w:snapToGrid w:val="0"/>
          <w:szCs w:val="24"/>
        </w:rPr>
        <w:t xml:space="preserve">The Commission will make its decision on this matter on the basis of the record evidence taken at the public evidentiary hearings.  The Commission may approve or reject, in whole or in </w:t>
      </w:r>
      <w:r w:rsidRPr="00DB1A33">
        <w:rPr>
          <w:snapToGrid w:val="0"/>
          <w:szCs w:val="24"/>
        </w:rPr>
        <w:lastRenderedPageBreak/>
        <w:t>part, the proposed increase and tariff revisions and may approve a different method for allocating any increase (if it finds one to be appropriate).</w:t>
      </w:r>
    </w:p>
    <w:p w14:paraId="2DE3FDA0" w14:textId="5A2047AF" w:rsidR="00383776" w:rsidRDefault="00383776" w:rsidP="00383776">
      <w:pPr>
        <w:widowControl/>
        <w:spacing w:line="480" w:lineRule="auto"/>
        <w:ind w:firstLine="720"/>
        <w:jc w:val="both"/>
      </w:pPr>
      <w:r>
        <w:t xml:space="preserve">You are invited to review Chesapeake’s application and supporting documents to determine how your interests may be affected by going to the Commission’s electronic file management system, </w:t>
      </w:r>
      <w:proofErr w:type="spellStart"/>
      <w:r>
        <w:t>DelaFile</w:t>
      </w:r>
      <w:proofErr w:type="spellEnd"/>
      <w:r>
        <w:t xml:space="preserve">, located at </w:t>
      </w:r>
      <w:hyperlink r:id="rId8">
        <w:r w:rsidRPr="6991FB52">
          <w:rPr>
            <w:rStyle w:val="Hyperlink"/>
          </w:rPr>
          <w:t>https://delafile.delaware.gov/</w:t>
        </w:r>
      </w:hyperlink>
      <w:r>
        <w:t xml:space="preserve"> , and by searching for Docket No. 24-</w:t>
      </w:r>
      <w:r w:rsidR="002720E6">
        <w:t>0906</w:t>
      </w:r>
      <w:r>
        <w:t>.</w:t>
      </w:r>
    </w:p>
    <w:p w14:paraId="338B8070" w14:textId="63E25A11" w:rsidR="00AB3A71" w:rsidRDefault="00AB3A71" w:rsidP="00AB3A71">
      <w:pPr>
        <w:widowControl/>
        <w:spacing w:line="480" w:lineRule="auto"/>
        <w:ind w:firstLine="720"/>
        <w:jc w:val="both"/>
      </w:pPr>
      <w:r>
        <w:t>If you would like to review documents at the Commission’s</w:t>
      </w:r>
      <w:r w:rsidR="00EA6F81">
        <w:t xml:space="preserve"> office</w:t>
      </w:r>
      <w:r>
        <w:t xml:space="preserve">, please </w:t>
      </w:r>
      <w:r w:rsidR="00A14CC4">
        <w:t xml:space="preserve">do so by </w:t>
      </w:r>
      <w:r>
        <w:t>contact</w:t>
      </w:r>
      <w:r w:rsidR="00A14CC4">
        <w:t>ing</w:t>
      </w:r>
      <w:r>
        <w:t xml:space="preserve"> </w:t>
      </w:r>
      <w:r w:rsidR="00000387">
        <w:t>Crystal Beenick</w:t>
      </w:r>
      <w:r>
        <w:t xml:space="preserve"> at (302) 736-7500 or by sending an email addressed to </w:t>
      </w:r>
      <w:hyperlink r:id="rId9" w:history="1">
        <w:r w:rsidR="008377E2" w:rsidRPr="00CE69DB">
          <w:rPr>
            <w:rStyle w:val="Hyperlink"/>
          </w:rPr>
          <w:t>Crystal.Beenick@delaware.gov</w:t>
        </w:r>
      </w:hyperlink>
      <w:r w:rsidR="008377E2">
        <w:t>.</w:t>
      </w:r>
      <w:r>
        <w:t xml:space="preserve"> </w:t>
      </w:r>
      <w:r w:rsidR="00376E5A">
        <w:t xml:space="preserve"> </w:t>
      </w:r>
    </w:p>
    <w:p w14:paraId="18FCC12C" w14:textId="172C8D1A" w:rsidR="00AB3A71" w:rsidRPr="0026473C" w:rsidRDefault="00AB3A71" w:rsidP="00A14CC4">
      <w:pPr>
        <w:widowControl/>
        <w:spacing w:line="480" w:lineRule="auto"/>
        <w:ind w:firstLine="720"/>
        <w:jc w:val="both"/>
        <w:rPr>
          <w:szCs w:val="24"/>
        </w:rPr>
      </w:pPr>
      <w:r w:rsidRPr="006C462C">
        <w:rPr>
          <w:szCs w:val="24"/>
        </w:rPr>
        <w:t xml:space="preserve">If you wish to request copies of documents in this matter, please submit a Freedom of Information Act Request Form.  The link to this form can be found on the Commission’s website, </w:t>
      </w:r>
      <w:hyperlink r:id="rId10" w:history="1">
        <w:r w:rsidR="002720E6" w:rsidRPr="002720E6">
          <w:rPr>
            <w:rStyle w:val="Hyperlink"/>
            <w:szCs w:val="24"/>
          </w:rPr>
          <w:t>https://depsc.delaware.gov</w:t>
        </w:r>
      </w:hyperlink>
      <w:r w:rsidRPr="006C462C">
        <w:rPr>
          <w:rStyle w:val="Hyperlink"/>
          <w:szCs w:val="24"/>
        </w:rPr>
        <w:t>,</w:t>
      </w:r>
      <w:r w:rsidRPr="006C462C">
        <w:rPr>
          <w:szCs w:val="24"/>
        </w:rPr>
        <w:t xml:space="preserve"> or by visiting this web address:</w:t>
      </w:r>
      <w:r w:rsidR="002720E6">
        <w:rPr>
          <w:rStyle w:val="Hyperlink"/>
          <w:szCs w:val="24"/>
        </w:rPr>
        <w:t xml:space="preserve"> </w:t>
      </w:r>
      <w:r w:rsidR="002720E6" w:rsidRPr="002720E6">
        <w:rPr>
          <w:rStyle w:val="Hyperlink"/>
          <w:szCs w:val="24"/>
        </w:rPr>
        <w:t>https://sos.delaware.gov/foia-requests/</w:t>
      </w:r>
      <w:r w:rsidRPr="006C462C">
        <w:rPr>
          <w:szCs w:val="24"/>
        </w:rPr>
        <w:t>.  The Commission will respond to your request in accordance with the Delaware Freedom of Information Act,</w:t>
      </w:r>
      <w:r w:rsidR="00A14CC4" w:rsidRPr="00A14CC4">
        <w:rPr>
          <w:szCs w:val="24"/>
        </w:rPr>
        <w:t xml:space="preserve"> </w:t>
      </w:r>
      <w:r w:rsidR="00A14CC4" w:rsidRPr="006C462C">
        <w:rPr>
          <w:szCs w:val="24"/>
        </w:rPr>
        <w:t xml:space="preserve">29 </w:t>
      </w:r>
      <w:r w:rsidR="00A14CC4" w:rsidRPr="006C462C">
        <w:rPr>
          <w:i/>
          <w:szCs w:val="24"/>
        </w:rPr>
        <w:t>Del. C. ch</w:t>
      </w:r>
      <w:r w:rsidR="00A14CC4" w:rsidRPr="006C462C">
        <w:rPr>
          <w:szCs w:val="24"/>
        </w:rPr>
        <w:t>. 100</w:t>
      </w:r>
      <w:r w:rsidRPr="006C462C">
        <w:rPr>
          <w:szCs w:val="24"/>
        </w:rPr>
        <w:t>.</w:t>
      </w:r>
    </w:p>
    <w:p w14:paraId="1418DBC3" w14:textId="77777777" w:rsidR="00A37186" w:rsidRDefault="00006D4D" w:rsidP="00A14CC4">
      <w:pPr>
        <w:widowControl/>
        <w:spacing w:line="480" w:lineRule="auto"/>
        <w:ind w:firstLine="720"/>
        <w:jc w:val="both"/>
      </w:pPr>
      <w:r>
        <w:t xml:space="preserve">If you have a disability and wish to participate or to review the materials in this matter, please contact the Commission to discuss any auxiliary aids or services you might </w:t>
      </w:r>
      <w:r w:rsidR="007D708C">
        <w:t xml:space="preserve">require </w:t>
      </w:r>
      <w:r>
        <w:t xml:space="preserve">to </w:t>
      </w:r>
      <w:r w:rsidR="007D708C">
        <w:t xml:space="preserve">assist </w:t>
      </w:r>
      <w:r>
        <w:t xml:space="preserve">you.  You may contact the Commission in person, by writing, by telephone (including text telephone), by Internet e-mail, or other means.  </w:t>
      </w:r>
    </w:p>
    <w:p w14:paraId="03E44079" w14:textId="33896625" w:rsidR="00E17792" w:rsidRDefault="00006D4D" w:rsidP="00A14CC4">
      <w:pPr>
        <w:widowControl/>
        <w:spacing w:line="480" w:lineRule="auto"/>
        <w:ind w:firstLine="720"/>
        <w:jc w:val="both"/>
      </w:pPr>
      <w:r>
        <w:t>If you have questions about this matter, you may call the Commission at 1-800-282-8574 (toll-free in Delaware) or (302) 736-7500 (voice and text telephone).</w:t>
      </w:r>
      <w:r w:rsidR="00376E5A">
        <w:t xml:space="preserve"> </w:t>
      </w:r>
      <w:r>
        <w:t xml:space="preserve"> You may also send questions regarding this matter by Internet e-mail addressed to</w:t>
      </w:r>
      <w:r w:rsidR="003D1009">
        <w:t xml:space="preserve"> </w:t>
      </w:r>
      <w:hyperlink r:id="rId11" w:history="1">
        <w:r w:rsidR="003D1009" w:rsidRPr="00F21420">
          <w:rPr>
            <w:rStyle w:val="Hyperlink"/>
          </w:rPr>
          <w:t>Clishona.Marshall@delaware.gov</w:t>
        </w:r>
      </w:hyperlink>
      <w:r w:rsidR="003D1009">
        <w:t xml:space="preserve">;  </w:t>
      </w:r>
      <w:r w:rsidR="005527D5">
        <w:t xml:space="preserve">include “PSC Docket No. </w:t>
      </w:r>
      <w:r w:rsidR="00D44ABA">
        <w:t>2</w:t>
      </w:r>
      <w:r w:rsidR="00F70619">
        <w:t>4</w:t>
      </w:r>
      <w:r w:rsidR="06FFEF02">
        <w:t>-</w:t>
      </w:r>
      <w:r w:rsidR="003D1009">
        <w:t>0906</w:t>
      </w:r>
      <w:r>
        <w:t>” as the subject.</w:t>
      </w:r>
      <w:bookmarkEnd w:id="0"/>
    </w:p>
    <w:sectPr w:rsidR="00E17792" w:rsidSect="00C21689">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BC0CA" w14:textId="77777777" w:rsidR="00207CED" w:rsidRDefault="00207CED" w:rsidP="004E07C8">
      <w:r>
        <w:separator/>
      </w:r>
    </w:p>
  </w:endnote>
  <w:endnote w:type="continuationSeparator" w:id="0">
    <w:p w14:paraId="359836EB" w14:textId="77777777" w:rsidR="00207CED" w:rsidRDefault="00207CED" w:rsidP="004E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B9FB" w14:textId="77777777" w:rsidR="00F61CED" w:rsidRPr="00460787" w:rsidRDefault="00F61CED" w:rsidP="00460787">
    <w:pPr>
      <w:pStyle w:val="Footer"/>
      <w:jc w:val="center"/>
      <w:rPr>
        <w:rFonts w:ascii="Courier New" w:hAnsi="Courier New" w:cs="Courier New"/>
        <w:sz w:val="20"/>
      </w:rPr>
    </w:pPr>
  </w:p>
  <w:p w14:paraId="1E43AFC5" w14:textId="77777777" w:rsidR="00F61CED" w:rsidRDefault="00F61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CA260" w14:textId="77777777" w:rsidR="00207CED" w:rsidRDefault="00207CED" w:rsidP="004E07C8">
      <w:r>
        <w:separator/>
      </w:r>
    </w:p>
  </w:footnote>
  <w:footnote w:type="continuationSeparator" w:id="0">
    <w:p w14:paraId="61875621" w14:textId="77777777" w:rsidR="00207CED" w:rsidRDefault="00207CED" w:rsidP="004E0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7D71" w14:textId="77777777" w:rsidR="00F61CED" w:rsidRDefault="00F61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76EC4"/>
    <w:multiLevelType w:val="hybridMultilevel"/>
    <w:tmpl w:val="50A8C9A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6AF45975"/>
    <w:multiLevelType w:val="hybridMultilevel"/>
    <w:tmpl w:val="E9FAD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945378">
    <w:abstractNumId w:val="0"/>
  </w:num>
  <w:num w:numId="2" w16cid:durableId="2132476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D4D"/>
    <w:rsid w:val="00000387"/>
    <w:rsid w:val="00006D4D"/>
    <w:rsid w:val="00021B3C"/>
    <w:rsid w:val="00025AE3"/>
    <w:rsid w:val="0004217F"/>
    <w:rsid w:val="000567B3"/>
    <w:rsid w:val="00095A00"/>
    <w:rsid w:val="000B2793"/>
    <w:rsid w:val="00105160"/>
    <w:rsid w:val="00133964"/>
    <w:rsid w:val="0016594D"/>
    <w:rsid w:val="001706B1"/>
    <w:rsid w:val="001719F1"/>
    <w:rsid w:val="001C37FE"/>
    <w:rsid w:val="001D55AD"/>
    <w:rsid w:val="001F08D1"/>
    <w:rsid w:val="001F18A6"/>
    <w:rsid w:val="001F5EFB"/>
    <w:rsid w:val="001F7703"/>
    <w:rsid w:val="002015FA"/>
    <w:rsid w:val="00207CED"/>
    <w:rsid w:val="00212093"/>
    <w:rsid w:val="00223C7C"/>
    <w:rsid w:val="00232F6A"/>
    <w:rsid w:val="00235CB9"/>
    <w:rsid w:val="002407AE"/>
    <w:rsid w:val="002623DA"/>
    <w:rsid w:val="0026473C"/>
    <w:rsid w:val="00270C35"/>
    <w:rsid w:val="002720E6"/>
    <w:rsid w:val="002813CC"/>
    <w:rsid w:val="002A43C8"/>
    <w:rsid w:val="002D7A12"/>
    <w:rsid w:val="0033161F"/>
    <w:rsid w:val="00337679"/>
    <w:rsid w:val="00345092"/>
    <w:rsid w:val="00376E5A"/>
    <w:rsid w:val="00383776"/>
    <w:rsid w:val="003C4F15"/>
    <w:rsid w:val="003D1009"/>
    <w:rsid w:val="003D1FF3"/>
    <w:rsid w:val="003F0402"/>
    <w:rsid w:val="00400837"/>
    <w:rsid w:val="00444CAA"/>
    <w:rsid w:val="00455294"/>
    <w:rsid w:val="0049628E"/>
    <w:rsid w:val="004A616C"/>
    <w:rsid w:val="004B71C9"/>
    <w:rsid w:val="004D3B2E"/>
    <w:rsid w:val="004D7176"/>
    <w:rsid w:val="004E07C8"/>
    <w:rsid w:val="004F6498"/>
    <w:rsid w:val="005148D8"/>
    <w:rsid w:val="005525ED"/>
    <w:rsid w:val="005527D5"/>
    <w:rsid w:val="005562E4"/>
    <w:rsid w:val="005754D3"/>
    <w:rsid w:val="00577704"/>
    <w:rsid w:val="005830F0"/>
    <w:rsid w:val="005A25D7"/>
    <w:rsid w:val="005B2FC1"/>
    <w:rsid w:val="005D2154"/>
    <w:rsid w:val="005E4A97"/>
    <w:rsid w:val="005F4878"/>
    <w:rsid w:val="00610D4D"/>
    <w:rsid w:val="006122E9"/>
    <w:rsid w:val="0061410F"/>
    <w:rsid w:val="00665842"/>
    <w:rsid w:val="00672963"/>
    <w:rsid w:val="00685077"/>
    <w:rsid w:val="00691976"/>
    <w:rsid w:val="006A2F0D"/>
    <w:rsid w:val="006A5347"/>
    <w:rsid w:val="006B07E9"/>
    <w:rsid w:val="006B2031"/>
    <w:rsid w:val="006B5C18"/>
    <w:rsid w:val="006B6B73"/>
    <w:rsid w:val="006F0F57"/>
    <w:rsid w:val="006F1DBF"/>
    <w:rsid w:val="007043EF"/>
    <w:rsid w:val="00713591"/>
    <w:rsid w:val="0073798A"/>
    <w:rsid w:val="00753F91"/>
    <w:rsid w:val="00765668"/>
    <w:rsid w:val="00772400"/>
    <w:rsid w:val="00781F1F"/>
    <w:rsid w:val="00782720"/>
    <w:rsid w:val="007D708C"/>
    <w:rsid w:val="007D731A"/>
    <w:rsid w:val="007E3434"/>
    <w:rsid w:val="007F4897"/>
    <w:rsid w:val="0082378C"/>
    <w:rsid w:val="0083599A"/>
    <w:rsid w:val="008377E2"/>
    <w:rsid w:val="00886B71"/>
    <w:rsid w:val="008A005E"/>
    <w:rsid w:val="008C79AC"/>
    <w:rsid w:val="008D011C"/>
    <w:rsid w:val="008D4BF7"/>
    <w:rsid w:val="008D6B76"/>
    <w:rsid w:val="008E365B"/>
    <w:rsid w:val="00911607"/>
    <w:rsid w:val="0091315A"/>
    <w:rsid w:val="00914581"/>
    <w:rsid w:val="00950AA3"/>
    <w:rsid w:val="009524B6"/>
    <w:rsid w:val="00965885"/>
    <w:rsid w:val="00972398"/>
    <w:rsid w:val="009A4EDA"/>
    <w:rsid w:val="009C7BCC"/>
    <w:rsid w:val="009D0D34"/>
    <w:rsid w:val="00A14CC4"/>
    <w:rsid w:val="00A37186"/>
    <w:rsid w:val="00A45CFF"/>
    <w:rsid w:val="00A66437"/>
    <w:rsid w:val="00AB3A71"/>
    <w:rsid w:val="00AD1489"/>
    <w:rsid w:val="00AE5034"/>
    <w:rsid w:val="00AF491D"/>
    <w:rsid w:val="00B35537"/>
    <w:rsid w:val="00B36CAF"/>
    <w:rsid w:val="00B454BC"/>
    <w:rsid w:val="00B47CBE"/>
    <w:rsid w:val="00B854EE"/>
    <w:rsid w:val="00BB5345"/>
    <w:rsid w:val="00BC52D2"/>
    <w:rsid w:val="00BE1557"/>
    <w:rsid w:val="00BE4EC7"/>
    <w:rsid w:val="00C20152"/>
    <w:rsid w:val="00C32210"/>
    <w:rsid w:val="00C45103"/>
    <w:rsid w:val="00C51EA0"/>
    <w:rsid w:val="00C6542E"/>
    <w:rsid w:val="00CC5E0B"/>
    <w:rsid w:val="00CD00D5"/>
    <w:rsid w:val="00CD6397"/>
    <w:rsid w:val="00D00276"/>
    <w:rsid w:val="00D44ABA"/>
    <w:rsid w:val="00D47B4C"/>
    <w:rsid w:val="00D64374"/>
    <w:rsid w:val="00D65458"/>
    <w:rsid w:val="00D87CC8"/>
    <w:rsid w:val="00DB1955"/>
    <w:rsid w:val="00DB1A33"/>
    <w:rsid w:val="00DD52C4"/>
    <w:rsid w:val="00DE29FE"/>
    <w:rsid w:val="00E17792"/>
    <w:rsid w:val="00E3045F"/>
    <w:rsid w:val="00E3109E"/>
    <w:rsid w:val="00E51D7F"/>
    <w:rsid w:val="00E80A9E"/>
    <w:rsid w:val="00E81D27"/>
    <w:rsid w:val="00EA6F81"/>
    <w:rsid w:val="00EB7729"/>
    <w:rsid w:val="00EF7AA3"/>
    <w:rsid w:val="00F27C85"/>
    <w:rsid w:val="00F45D40"/>
    <w:rsid w:val="00F57322"/>
    <w:rsid w:val="00F61CED"/>
    <w:rsid w:val="00F70619"/>
    <w:rsid w:val="00FE293C"/>
    <w:rsid w:val="06FFEF02"/>
    <w:rsid w:val="07615D3B"/>
    <w:rsid w:val="076F2140"/>
    <w:rsid w:val="07C9A180"/>
    <w:rsid w:val="082A811C"/>
    <w:rsid w:val="083340FD"/>
    <w:rsid w:val="09001888"/>
    <w:rsid w:val="0932325C"/>
    <w:rsid w:val="09A6D623"/>
    <w:rsid w:val="09B78A48"/>
    <w:rsid w:val="0A92749C"/>
    <w:rsid w:val="0BE6D659"/>
    <w:rsid w:val="0D559FFD"/>
    <w:rsid w:val="0E465C7C"/>
    <w:rsid w:val="108868E3"/>
    <w:rsid w:val="119ACC68"/>
    <w:rsid w:val="11CEC5DF"/>
    <w:rsid w:val="12475257"/>
    <w:rsid w:val="15037F14"/>
    <w:rsid w:val="152AEC62"/>
    <w:rsid w:val="19671248"/>
    <w:rsid w:val="1A4E84F4"/>
    <w:rsid w:val="1A71265D"/>
    <w:rsid w:val="1A9F10B9"/>
    <w:rsid w:val="1B694EB1"/>
    <w:rsid w:val="1D0FB19F"/>
    <w:rsid w:val="1D61E1FC"/>
    <w:rsid w:val="1E584420"/>
    <w:rsid w:val="1E89E99E"/>
    <w:rsid w:val="1EFE1432"/>
    <w:rsid w:val="20044208"/>
    <w:rsid w:val="21916C8C"/>
    <w:rsid w:val="21B95F83"/>
    <w:rsid w:val="23EFE9EF"/>
    <w:rsid w:val="245A2CD6"/>
    <w:rsid w:val="247938B0"/>
    <w:rsid w:val="25EAAB2C"/>
    <w:rsid w:val="27D87D50"/>
    <w:rsid w:val="28136F60"/>
    <w:rsid w:val="285F8891"/>
    <w:rsid w:val="2B6BFE88"/>
    <w:rsid w:val="2F6D1405"/>
    <w:rsid w:val="2F8B01F1"/>
    <w:rsid w:val="301E8145"/>
    <w:rsid w:val="303BCB20"/>
    <w:rsid w:val="31CB9C5F"/>
    <w:rsid w:val="31E7D809"/>
    <w:rsid w:val="32D8913D"/>
    <w:rsid w:val="332778A5"/>
    <w:rsid w:val="3379B73D"/>
    <w:rsid w:val="368B1FCA"/>
    <w:rsid w:val="37D6DFE5"/>
    <w:rsid w:val="380097D2"/>
    <w:rsid w:val="393B84D3"/>
    <w:rsid w:val="3F81F8E1"/>
    <w:rsid w:val="41EDACA2"/>
    <w:rsid w:val="429EA4E4"/>
    <w:rsid w:val="441EF63C"/>
    <w:rsid w:val="442DB80A"/>
    <w:rsid w:val="452B98BF"/>
    <w:rsid w:val="45427D0D"/>
    <w:rsid w:val="47167059"/>
    <w:rsid w:val="47D91654"/>
    <w:rsid w:val="48340528"/>
    <w:rsid w:val="4846698A"/>
    <w:rsid w:val="49D3D2E4"/>
    <w:rsid w:val="4AC00FB0"/>
    <w:rsid w:val="4CCDB374"/>
    <w:rsid w:val="4D1E6479"/>
    <w:rsid w:val="4D6B9B5F"/>
    <w:rsid w:val="4E90CF27"/>
    <w:rsid w:val="50D674B7"/>
    <w:rsid w:val="519C80B3"/>
    <w:rsid w:val="539F8E24"/>
    <w:rsid w:val="57627236"/>
    <w:rsid w:val="576E7068"/>
    <w:rsid w:val="58160742"/>
    <w:rsid w:val="5A39D1DF"/>
    <w:rsid w:val="5B004FB2"/>
    <w:rsid w:val="5B1BD2C7"/>
    <w:rsid w:val="5B3749F0"/>
    <w:rsid w:val="5BF1DF82"/>
    <w:rsid w:val="5C4EEDB9"/>
    <w:rsid w:val="5EF01B3F"/>
    <w:rsid w:val="60002540"/>
    <w:rsid w:val="6327A999"/>
    <w:rsid w:val="63804590"/>
    <w:rsid w:val="65D3FC6E"/>
    <w:rsid w:val="660F06D8"/>
    <w:rsid w:val="67F8D735"/>
    <w:rsid w:val="68219624"/>
    <w:rsid w:val="6830332A"/>
    <w:rsid w:val="6991FB52"/>
    <w:rsid w:val="69FD12E0"/>
    <w:rsid w:val="6C18F852"/>
    <w:rsid w:val="6CBE8817"/>
    <w:rsid w:val="6E4B9B4A"/>
    <w:rsid w:val="6E67477E"/>
    <w:rsid w:val="6E8EBB32"/>
    <w:rsid w:val="6F21C9FA"/>
    <w:rsid w:val="71433B93"/>
    <w:rsid w:val="72334C79"/>
    <w:rsid w:val="72E5EA0E"/>
    <w:rsid w:val="7383C144"/>
    <w:rsid w:val="74240A37"/>
    <w:rsid w:val="76ECF83A"/>
    <w:rsid w:val="7886ACE9"/>
    <w:rsid w:val="7977E254"/>
    <w:rsid w:val="7B4AB17E"/>
    <w:rsid w:val="7D5E459C"/>
    <w:rsid w:val="7D6350AC"/>
    <w:rsid w:val="7E19C1F7"/>
    <w:rsid w:val="7F1240CE"/>
    <w:rsid w:val="7F8DFED5"/>
    <w:rsid w:val="7FAE44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3A0B"/>
  <w15:docId w15:val="{494DE8F2-8278-41C3-B04C-9978FEC8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D4D"/>
    <w:pPr>
      <w:widowControl w:val="0"/>
      <w:snapToGri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06D4D"/>
    <w:rPr>
      <w:color w:val="0000FF"/>
      <w:u w:val="single"/>
    </w:rPr>
  </w:style>
  <w:style w:type="paragraph" w:styleId="Title">
    <w:name w:val="Title"/>
    <w:basedOn w:val="Normal"/>
    <w:link w:val="TitleChar"/>
    <w:qFormat/>
    <w:rsid w:val="00006D4D"/>
    <w:pPr>
      <w:jc w:val="center"/>
    </w:pPr>
    <w:rPr>
      <w:rFonts w:ascii="Arial" w:hAnsi="Arial"/>
      <w:b/>
      <w:sz w:val="22"/>
    </w:rPr>
  </w:style>
  <w:style w:type="character" w:customStyle="1" w:styleId="TitleChar">
    <w:name w:val="Title Char"/>
    <w:basedOn w:val="DefaultParagraphFont"/>
    <w:link w:val="Title"/>
    <w:rsid w:val="00006D4D"/>
    <w:rPr>
      <w:rFonts w:ascii="Arial" w:eastAsia="Times New Roman" w:hAnsi="Arial" w:cs="Times New Roman"/>
      <w:b/>
      <w:szCs w:val="20"/>
    </w:rPr>
  </w:style>
  <w:style w:type="paragraph" w:styleId="BodyTextIndent">
    <w:name w:val="Body Text Indent"/>
    <w:basedOn w:val="Normal"/>
    <w:link w:val="BodyTextIndentChar"/>
    <w:unhideWhenUsed/>
    <w:rsid w:val="00006D4D"/>
    <w:pPr>
      <w:widowControl/>
      <w:spacing w:line="480" w:lineRule="auto"/>
      <w:ind w:firstLine="720"/>
      <w:jc w:val="both"/>
    </w:pPr>
    <w:rPr>
      <w:rFonts w:ascii="Courier New" w:hAnsi="Courier New"/>
      <w:sz w:val="22"/>
    </w:rPr>
  </w:style>
  <w:style w:type="character" w:customStyle="1" w:styleId="BodyTextIndentChar">
    <w:name w:val="Body Text Indent Char"/>
    <w:basedOn w:val="DefaultParagraphFont"/>
    <w:link w:val="BodyTextIndent"/>
    <w:rsid w:val="00006D4D"/>
    <w:rPr>
      <w:rFonts w:ascii="Courier New" w:eastAsia="Times New Roman" w:hAnsi="Courier New" w:cs="Times New Roman"/>
      <w:szCs w:val="20"/>
    </w:rPr>
  </w:style>
  <w:style w:type="paragraph" w:styleId="Header">
    <w:name w:val="header"/>
    <w:basedOn w:val="Normal"/>
    <w:link w:val="HeaderChar"/>
    <w:uiPriority w:val="99"/>
    <w:unhideWhenUsed/>
    <w:rsid w:val="00006D4D"/>
    <w:pPr>
      <w:tabs>
        <w:tab w:val="center" w:pos="4680"/>
        <w:tab w:val="right" w:pos="9360"/>
      </w:tabs>
    </w:pPr>
  </w:style>
  <w:style w:type="character" w:customStyle="1" w:styleId="HeaderChar">
    <w:name w:val="Header Char"/>
    <w:basedOn w:val="DefaultParagraphFont"/>
    <w:link w:val="Header"/>
    <w:uiPriority w:val="99"/>
    <w:rsid w:val="00006D4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06D4D"/>
    <w:pPr>
      <w:tabs>
        <w:tab w:val="center" w:pos="4680"/>
        <w:tab w:val="right" w:pos="9360"/>
      </w:tabs>
    </w:pPr>
  </w:style>
  <w:style w:type="character" w:customStyle="1" w:styleId="FooterChar">
    <w:name w:val="Footer Char"/>
    <w:basedOn w:val="DefaultParagraphFont"/>
    <w:link w:val="Footer"/>
    <w:uiPriority w:val="99"/>
    <w:rsid w:val="00006D4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45D40"/>
    <w:rPr>
      <w:rFonts w:ascii="Tahoma" w:hAnsi="Tahoma" w:cs="Tahoma"/>
      <w:sz w:val="16"/>
      <w:szCs w:val="16"/>
    </w:rPr>
  </w:style>
  <w:style w:type="character" w:customStyle="1" w:styleId="BalloonTextChar">
    <w:name w:val="Balloon Text Char"/>
    <w:basedOn w:val="DefaultParagraphFont"/>
    <w:link w:val="BalloonText"/>
    <w:uiPriority w:val="99"/>
    <w:semiHidden/>
    <w:rsid w:val="00F45D40"/>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950AA3"/>
    <w:rPr>
      <w:color w:val="800080" w:themeColor="followedHyperlink"/>
      <w:u w:val="single"/>
    </w:rPr>
  </w:style>
  <w:style w:type="paragraph" w:styleId="FootnoteText">
    <w:name w:val="footnote text"/>
    <w:basedOn w:val="Normal"/>
    <w:link w:val="FootnoteTextChar"/>
    <w:uiPriority w:val="99"/>
    <w:semiHidden/>
    <w:unhideWhenUsed/>
    <w:rsid w:val="00DB1955"/>
    <w:rPr>
      <w:sz w:val="20"/>
    </w:rPr>
  </w:style>
  <w:style w:type="character" w:customStyle="1" w:styleId="FootnoteTextChar">
    <w:name w:val="Footnote Text Char"/>
    <w:basedOn w:val="DefaultParagraphFont"/>
    <w:link w:val="FootnoteText"/>
    <w:uiPriority w:val="99"/>
    <w:semiHidden/>
    <w:rsid w:val="00DB195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B1955"/>
    <w:rPr>
      <w:vertAlign w:val="superscript"/>
    </w:rPr>
  </w:style>
  <w:style w:type="character" w:styleId="UnresolvedMention">
    <w:name w:val="Unresolved Mention"/>
    <w:basedOn w:val="DefaultParagraphFont"/>
    <w:uiPriority w:val="99"/>
    <w:semiHidden/>
    <w:unhideWhenUsed/>
    <w:rsid w:val="007D708C"/>
    <w:rPr>
      <w:color w:val="605E5C"/>
      <w:shd w:val="clear" w:color="auto" w:fill="E1DFDD"/>
    </w:rPr>
  </w:style>
  <w:style w:type="character" w:styleId="CommentReference">
    <w:name w:val="annotation reference"/>
    <w:basedOn w:val="DefaultParagraphFont"/>
    <w:uiPriority w:val="99"/>
    <w:semiHidden/>
    <w:unhideWhenUsed/>
    <w:rsid w:val="00CD6397"/>
    <w:rPr>
      <w:sz w:val="16"/>
      <w:szCs w:val="16"/>
    </w:rPr>
  </w:style>
  <w:style w:type="paragraph" w:styleId="CommentText">
    <w:name w:val="annotation text"/>
    <w:basedOn w:val="Normal"/>
    <w:link w:val="CommentTextChar"/>
    <w:uiPriority w:val="99"/>
    <w:semiHidden/>
    <w:unhideWhenUsed/>
    <w:rsid w:val="00CD6397"/>
    <w:rPr>
      <w:sz w:val="20"/>
    </w:rPr>
  </w:style>
  <w:style w:type="character" w:customStyle="1" w:styleId="CommentTextChar">
    <w:name w:val="Comment Text Char"/>
    <w:basedOn w:val="DefaultParagraphFont"/>
    <w:link w:val="CommentText"/>
    <w:uiPriority w:val="99"/>
    <w:semiHidden/>
    <w:rsid w:val="00CD63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6397"/>
    <w:rPr>
      <w:b/>
      <w:bCs/>
    </w:rPr>
  </w:style>
  <w:style w:type="character" w:customStyle="1" w:styleId="CommentSubjectChar">
    <w:name w:val="Comment Subject Char"/>
    <w:basedOn w:val="CommentTextChar"/>
    <w:link w:val="CommentSubject"/>
    <w:uiPriority w:val="99"/>
    <w:semiHidden/>
    <w:rsid w:val="00CD6397"/>
    <w:rPr>
      <w:rFonts w:ascii="Times New Roman" w:eastAsia="Times New Roman" w:hAnsi="Times New Roman" w:cs="Times New Roman"/>
      <w:b/>
      <w:bCs/>
      <w:sz w:val="20"/>
      <w:szCs w:val="20"/>
    </w:rPr>
  </w:style>
  <w:style w:type="paragraph" w:styleId="ListParagraph">
    <w:name w:val="List Paragraph"/>
    <w:basedOn w:val="Normal"/>
    <w:uiPriority w:val="34"/>
    <w:qFormat/>
    <w:rsid w:val="009A4EDA"/>
    <w:pPr>
      <w:ind w:left="720"/>
      <w:contextualSpacing/>
    </w:pPr>
  </w:style>
  <w:style w:type="paragraph" w:styleId="Revision">
    <w:name w:val="Revision"/>
    <w:hidden/>
    <w:uiPriority w:val="99"/>
    <w:semiHidden/>
    <w:rsid w:val="005B2FC1"/>
    <w:pPr>
      <w:spacing w:after="0" w:line="240" w:lineRule="auto"/>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1719F1"/>
    <w:pPr>
      <w:spacing w:after="120"/>
    </w:pPr>
  </w:style>
  <w:style w:type="character" w:customStyle="1" w:styleId="BodyTextChar">
    <w:name w:val="Body Text Char"/>
    <w:basedOn w:val="DefaultParagraphFont"/>
    <w:link w:val="BodyText"/>
    <w:uiPriority w:val="99"/>
    <w:semiHidden/>
    <w:rsid w:val="001719F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89063">
      <w:bodyDiv w:val="1"/>
      <w:marLeft w:val="0"/>
      <w:marRight w:val="0"/>
      <w:marTop w:val="0"/>
      <w:marBottom w:val="0"/>
      <w:divBdr>
        <w:top w:val="none" w:sz="0" w:space="0" w:color="auto"/>
        <w:left w:val="none" w:sz="0" w:space="0" w:color="auto"/>
        <w:bottom w:val="none" w:sz="0" w:space="0" w:color="auto"/>
        <w:right w:val="none" w:sz="0" w:space="0" w:color="auto"/>
      </w:divBdr>
    </w:div>
    <w:div w:id="168147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lafile.delaware.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ishona.Marshall@delaware.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psc.delaware.gov" TargetMode="External"/><Relationship Id="rId4" Type="http://schemas.openxmlformats.org/officeDocument/2006/relationships/settings" Target="settings.xml"/><Relationship Id="rId9" Type="http://schemas.openxmlformats.org/officeDocument/2006/relationships/hyperlink" Target="mailto:Crystal.Beenick@delaware.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17372-28CE-4E44-83F3-FD84E116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4991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of Delaware</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Jason</dc:creator>
  <cp:lastModifiedBy>Marshall, Clishona (DOS)</cp:lastModifiedBy>
  <cp:revision>2</cp:revision>
  <cp:lastPrinted>2019-09-11T14:48:00Z</cp:lastPrinted>
  <dcterms:created xsi:type="dcterms:W3CDTF">2024-10-31T12:59:00Z</dcterms:created>
  <dcterms:modified xsi:type="dcterms:W3CDTF">2024-10-31T12:59:00Z</dcterms:modified>
</cp:coreProperties>
</file>